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8"/>
        <w:rPr>
          <w:color w:val="000000"/>
        </w:rPr>
      </w:pPr>
      <w:r>
        <w:rPr>
          <w:rFonts w:hint="eastAsia"/>
        </w:rPr>
        <w:t>ICS 65.020.</w:t>
      </w:r>
      <w:r>
        <w:rPr>
          <w:rFonts w:hint="eastAsia"/>
          <w:lang w:val="en-US" w:eastAsia="zh-CN"/>
        </w:rPr>
        <w:t>20</w:t>
      </w:r>
      <w:r>
        <w:rPr>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000000"/>
        </w:rPr>
        <w:instrText xml:space="preserve">ADDIN CNKISM.UserStyle</w:instrText>
      </w:r>
      <w:r>
        <w:rPr>
          <w:color w:val="000000"/>
        </w:rPr>
        <w:fldChar w:fldCharType="end"/>
      </w:r>
    </w:p>
    <w:p>
      <w:pPr>
        <w:pStyle w:val="148"/>
        <w:rPr>
          <w:rFonts w:hint="default" w:eastAsia="黑体"/>
          <w:color w:val="000000"/>
          <w:lang w:val="en-US" w:eastAsia="zh-CN"/>
        </w:rPr>
      </w:pPr>
      <w:r>
        <w:rPr>
          <w:rFonts w:hint="eastAsia"/>
          <w:color w:val="000000"/>
        </w:rPr>
        <w:t xml:space="preserve">CCS B </w:t>
      </w:r>
      <w:r>
        <w:rPr>
          <w:rFonts w:hint="eastAsia"/>
          <w:color w:val="000000"/>
          <w:lang w:val="en-US" w:eastAsia="zh-CN"/>
        </w:rPr>
        <w:t>61</w:t>
      </w:r>
    </w:p>
    <w:tbl>
      <w:tblPr>
        <w:tblStyle w:val="41"/>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4" w:type="dxa"/>
            <w:tcBorders>
              <w:top w:val="nil"/>
              <w:left w:val="nil"/>
              <w:bottom w:val="nil"/>
              <w:right w:val="nil"/>
            </w:tcBorders>
          </w:tcPr>
          <w:p>
            <w:pPr>
              <w:pStyle w:val="148"/>
              <w:rPr>
                <w:color w:val="000000"/>
              </w:rPr>
            </w:pPr>
            <w:r>
              <mc:AlternateContent>
                <mc:Choice Requires="wps">
                  <w:drawing>
                    <wp:anchor distT="0" distB="0" distL="114300" distR="114300" simplePos="0" relativeHeight="251662336" behindDoc="1" locked="0" layoutInCell="1" allowOverlap="1">
                      <wp:simplePos x="0" y="0"/>
                      <wp:positionH relativeFrom="column">
                        <wp:posOffset>-66675</wp:posOffset>
                      </wp:positionH>
                      <wp:positionV relativeFrom="paragraph">
                        <wp:posOffset>0</wp:posOffset>
                      </wp:positionV>
                      <wp:extent cx="866775" cy="198120"/>
                      <wp:effectExtent l="0" t="0" r="9525" b="1143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true"/>
                          </wps:wsp>
                        </a:graphicData>
                      </a:graphic>
                    </wp:anchor>
                  </w:drawing>
                </mc:Choice>
                <mc:Fallback>
                  <w:pict>
                    <v:rect id="BAH" o:spid="_x0000_s1026" o:spt="1" style="position:absolute;left:0pt;margin-left:-5.25pt;margin-top:0pt;height:15.6pt;width:68.25pt;z-index:-251654144;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MiuL+zVAAAABwEAAA8AAAAAAAAA&#10;AQAgAAAAOAAAAGRycy9kb3ducmV2LnhtbFBLAQIUABQAAAAIAIdO4kAwV62PjAEAAA4DAAAOAAAA&#10;AAAAAAEAIAAAADoBAABkcnMvZTJvRG9jLnhtbFBLBQYAAAAABgAGAFkBAAA4BQAAAAA=&#10;">
                      <v:fill on="t" focussize="0,0"/>
                      <v:stroke on="f"/>
                      <v:imagedata o:title=""/>
                      <o:lock v:ext="edit" aspectratio="f"/>
                    </v:rect>
                  </w:pict>
                </mc:Fallback>
              </mc:AlternateContent>
            </w:r>
            <w:bookmarkStart w:id="0" w:name="BAH"/>
            <w:r>
              <w:rPr>
                <w:color w:val="000000"/>
              </w:rPr>
              <w:fldChar w:fldCharType="begin">
                <w:ffData>
                  <w:name w:val="BAH"/>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0"/>
          </w:p>
        </w:tc>
      </w:tr>
    </w:tbl>
    <w:p>
      <w:pPr>
        <w:pStyle w:val="134"/>
        <w:rPr>
          <w:color w:val="000000"/>
        </w:rPr>
      </w:pPr>
      <w:r>
        <w:rPr>
          <w:color w:val="000000"/>
        </w:rPr>
        <w:t>DB1308</w:t>
      </w:r>
    </w:p>
    <w:p>
      <w:pPr>
        <w:pStyle w:val="135"/>
        <w:rPr>
          <w:color w:val="000000"/>
        </w:rPr>
      </w:pPr>
      <w:r>
        <w:rPr>
          <w:rFonts w:hint="eastAsia"/>
          <w:color w:val="000000"/>
        </w:rPr>
        <w:t>承德市地方标准</w:t>
      </w:r>
    </w:p>
    <w:p>
      <w:pPr>
        <w:pStyle w:val="72"/>
        <w:rPr>
          <w:color w:val="000000"/>
        </w:rPr>
      </w:pPr>
      <w:r>
        <w:rPr>
          <w:color w:val="000000"/>
        </w:rPr>
        <w:t>DB 1308/T</w:t>
      </w:r>
      <w:r>
        <w:rPr>
          <w:rFonts w:hint="eastAsia"/>
          <w:color w:val="000000"/>
          <w:lang w:val="en-US" w:eastAsia="zh-CN"/>
        </w:rPr>
        <w:t xml:space="preserve"> ***</w:t>
      </w:r>
      <w:r>
        <w:rPr>
          <w:rFonts w:hint="eastAsia"/>
          <w:color w:val="000000"/>
        </w:rPr>
        <w:t>—</w:t>
      </w:r>
      <w:r>
        <w:rPr>
          <w:color w:val="000000"/>
        </w:rPr>
        <w:t>202</w:t>
      </w:r>
      <w:r>
        <w:rPr>
          <w:rFonts w:hint="eastAsia"/>
          <w:color w:val="000000"/>
        </w:rPr>
        <w:t>4</w:t>
      </w:r>
    </w:p>
    <w:tbl>
      <w:tblPr>
        <w:tblStyle w:val="41"/>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101"/>
              <w:rPr>
                <w:color w:val="000000"/>
              </w:rPr>
            </w:pPr>
            <w:bookmarkStart w:id="1" w:name="DT"/>
            <w:r>
              <mc:AlternateContent>
                <mc:Choice Requires="wps">
                  <w:drawing>
                    <wp:anchor distT="0" distB="0" distL="114300" distR="114300" simplePos="0" relativeHeight="251663360"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true"/>
                          </wps:wsp>
                        </a:graphicData>
                      </a:graphic>
                    </wp:anchor>
                  </w:drawing>
                </mc:Choice>
                <mc:Fallback>
                  <w:pict>
                    <v:rect id="DT" o:spid="_x0000_s1026" o:spt="1" style="position:absolute;left:0pt;margin-left:372.8pt;margin-top:2.7pt;height:18pt;width:90pt;z-index:-251653120;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eYPLL1gAAAAgBAAAPAAAAAAAAAAEAIAAA&#10;ADgAAABkcnMvZG93bnJldi54bWxQSwECFAAUAAAACACHTuJAA1MtqYYBAAAOAwAADgAAAAAAAAAB&#10;ACAAAAA7AQAAZHJzL2Uyb0RvYy54bWxQSwUGAAAAAAYABgBZAQAAMwUAAAAA&#10;">
                      <v:fill on="t" focussize="0,0"/>
                      <v:stroke on="f"/>
                      <v:imagedata o:title=""/>
                      <o:lock v:ext="edit" aspectratio="f"/>
                    </v:rect>
                  </w:pict>
                </mc:Fallback>
              </mc:AlternateContent>
            </w:r>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1"/>
          </w:p>
        </w:tc>
      </w:tr>
    </w:tbl>
    <w:p>
      <w:pPr>
        <w:pStyle w:val="72"/>
        <w:rPr>
          <w:color w:val="000000"/>
        </w:rPr>
      </w:pPr>
    </w:p>
    <w:p>
      <w:pPr>
        <w:pStyle w:val="72"/>
        <w:rPr>
          <w:color w:val="000000"/>
        </w:rPr>
      </w:pPr>
    </w:p>
    <w:p>
      <w:pPr>
        <w:pStyle w:val="103"/>
        <w:rPr>
          <w:color w:val="000000"/>
          <w:szCs w:val="52"/>
        </w:rPr>
      </w:pPr>
    </w:p>
    <w:p>
      <w:pPr>
        <w:pStyle w:val="103"/>
        <w:rPr>
          <w:color w:val="000000"/>
          <w:szCs w:val="52"/>
        </w:rPr>
      </w:pPr>
      <w:r>
        <w:rPr>
          <w:rFonts w:ascii="Calibri" w:hAnsi="Calibri"/>
          <w:szCs w:val="52"/>
        </w:rPr>
        <w:t>桃山地节水栽培技术规程</w:t>
      </w:r>
    </w:p>
    <w:p>
      <w:pPr>
        <w:pStyle w:val="104"/>
        <w:tabs>
          <w:tab w:val="left" w:pos="3396"/>
        </w:tabs>
        <w:jc w:val="left"/>
        <w:rPr>
          <w:color w:val="000000"/>
        </w:rPr>
      </w:pPr>
      <w:r>
        <w:rPr>
          <w:rFonts w:hint="eastAsia"/>
          <w:color w:val="000000"/>
        </w:rPr>
        <w:tab/>
      </w:r>
    </w:p>
    <w:p>
      <w:pPr>
        <w:pStyle w:val="105"/>
        <w:rPr>
          <w:color w:val="000000"/>
        </w:rPr>
      </w:pPr>
      <w:r>
        <w:rPr>
          <w:rFonts w:hint="eastAsia"/>
          <w:color w:val="000000"/>
        </w:rPr>
        <w:t>（</w:t>
      </w:r>
      <w:r>
        <w:rPr>
          <w:rFonts w:hint="eastAsia"/>
          <w:color w:val="000000"/>
          <w:lang w:eastAsia="zh-CN"/>
        </w:rPr>
        <w:t>征求意见</w:t>
      </w:r>
      <w:r>
        <w:rPr>
          <w:rFonts w:hint="eastAsia"/>
          <w:color w:val="000000"/>
        </w:rPr>
        <w:t>稿）</w:t>
      </w:r>
    </w:p>
    <w:tbl>
      <w:tblPr>
        <w:tblStyle w:val="41"/>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106"/>
              <w:rPr>
                <w:color w:val="000000"/>
              </w:rPr>
            </w:pPr>
            <w:r>
              <mc:AlternateContent>
                <mc:Choice Requires="wps">
                  <w:drawing>
                    <wp:anchor distT="0" distB="0" distL="114300" distR="114300" simplePos="0" relativeHeight="251664384"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5"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true"/>
                          </wps:wsp>
                        </a:graphicData>
                      </a:graphic>
                    </wp:anchor>
                  </w:drawing>
                </mc:Choice>
                <mc:Fallback>
                  <w:pict>
                    <v:rect id="RQ" o:spid="_x0000_s1026" o:spt="1" style="position:absolute;left:0pt;margin-left:173.3pt;margin-top:45.15pt;height:20pt;width:150pt;z-index:-251652096;mso-width-relative:page;mso-height-relative:page;" fillcolor="#FFFFFF" filled="t" stroked="f" coordsize="21600,21600" o:gfxdata="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BYAAABkcnMvUEsBAhQAFAAAAAgAh07iQAWJrpLVAAAACgEAAA8AAAAAAAAAAQAgAAAA&#10;OAAAAGRycy9kb3ducmV2LnhtbFBLAQIUABQAAAAIAIdO4kD0xkqThgEAAA4DAAAOAAAAAAAAAAEA&#10;IAAAADoBAABkcnMvZTJvRG9jLnhtbFBLBQYAAAAABgAGAFkBAAAyBQAAAAA=&#10;">
                      <v:fill on="t" focussize="0,0"/>
                      <v:stroke on="f"/>
                      <v:imagedata o:title=""/>
                      <o:lock v:ext="edit" aspectratio="f"/>
                      <w10:anchorlock/>
                    </v:rect>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6"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true"/>
                          </wps:wsp>
                        </a:graphicData>
                      </a:graphic>
                    </wp:anchor>
                  </w:drawing>
                </mc:Choice>
                <mc:Fallback>
                  <w:pict>
                    <v:rect id="LB" o:spid="_x0000_s1026" o:spt="1" style="position:absolute;left:0pt;margin-left:193.3pt;margin-top:20.15pt;height:24pt;width:100pt;z-index:-251651072;mso-width-relative:page;mso-height-relative:page;" fillcolor="#FFFFFF" filled="t" stroked="f" coordsize="21600,21600" o:gfxdata="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D4Yvl1gAAAAkBAAAPAAAAAAAAAAEAIAAA&#10;ADgAAABkcnMvZG93bnJldi54bWxQSwECFAAUAAAACACHTuJAAbi+m4YBAAAOAwAADgAAAAAAAAAB&#10;ACAAAAA7AQAAZHJzL2Uyb0RvYy54bWxQSwUGAAAAAAYABgBZAQAAMwUAAAAA&#10;">
                      <v:fill on="t" focussize="0,0"/>
                      <v:stroke on="f"/>
                      <v:imagedata o:title=""/>
                      <o:lock v:ext="edit" aspectratio="f"/>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pPr>
              <w:pStyle w:val="107"/>
              <w:jc w:val="both"/>
              <w:rPr>
                <w:color w:val="000000"/>
              </w:rPr>
            </w:pPr>
          </w:p>
        </w:tc>
      </w:tr>
    </w:tbl>
    <w:p>
      <w:pPr>
        <w:pStyle w:val="155"/>
        <w:framePr w:hAnchor="page" w:x="1486" w:y="14101"/>
        <w:rPr>
          <w:color w:val="000000"/>
        </w:rPr>
      </w:pPr>
      <w:r>
        <w:rPr>
          <w:rFonts w:ascii="黑体"/>
          <w:color w:val="000000"/>
        </w:rPr>
        <w:t>202</w:t>
      </w:r>
      <w:r>
        <w:rPr>
          <w:rFonts w:hint="eastAsia" w:ascii="黑体"/>
          <w:color w:val="000000"/>
        </w:rPr>
        <w:t>4</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发布</w:t>
      </w:r>
      <w:r>
        <mc:AlternateContent>
          <mc:Choice Requires="wps">
            <w:drawing>
              <wp:anchor distT="0" distB="0" distL="114300" distR="114300" simplePos="0" relativeHeight="251660288" behindDoc="0" locked="1" layoutInCell="1" allowOverlap="1">
                <wp:simplePos x="0" y="0"/>
                <wp:positionH relativeFrom="column">
                  <wp:posOffset>-635</wp:posOffset>
                </wp:positionH>
                <wp:positionV relativeFrom="page">
                  <wp:posOffset>9251950</wp:posOffset>
                </wp:positionV>
                <wp:extent cx="6120130" cy="0"/>
                <wp:effectExtent l="0" t="0" r="0" b="0"/>
                <wp:wrapNone/>
                <wp:docPr id="1"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0.05pt;margin-top:728.5pt;height:0pt;width:481.9pt;mso-position-vertical-relative:page;z-index:251660288;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JYdrPNYAAAALAQAADwAAAAAAAAAB&#10;ACAAAAA4AAAAZHJzL2Rvd25yZXYueG1sUEsBAhQAFAAAAAgAh07iQOjvUo3DAQAAgQMAAA4AAAAA&#10;AAAAAQAgAAAAOwEAAGRycy9lMm9Eb2MueG1sUEsFBgAAAAAGAAYAWQEAAHAFAAAAAA==&#10;">
                <v:fill on="f" focussize="0,0"/>
                <v:stroke color="#000000" joinstyle="round"/>
                <v:imagedata o:title=""/>
                <o:lock v:ext="edit" aspectratio="f"/>
                <w10:anchorlock/>
              </v:line>
            </w:pict>
          </mc:Fallback>
        </mc:AlternateContent>
      </w:r>
    </w:p>
    <w:p>
      <w:pPr>
        <w:pStyle w:val="156"/>
        <w:framePr w:hAnchor="page" w:x="7126" w:y="14101"/>
        <w:rPr>
          <w:color w:val="000000"/>
        </w:rPr>
      </w:pPr>
      <w:r>
        <w:rPr>
          <w:rFonts w:ascii="黑体"/>
          <w:color w:val="000000"/>
        </w:rPr>
        <w:t>202</w:t>
      </w:r>
      <w:r>
        <w:rPr>
          <w:rFonts w:hint="eastAsia" w:ascii="黑体"/>
          <w:color w:val="000000"/>
        </w:rPr>
        <w:t>4</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实施</w:t>
      </w:r>
    </w:p>
    <w:p>
      <w:pPr>
        <w:pStyle w:val="136"/>
        <w:rPr>
          <w:color w:val="000000"/>
        </w:rPr>
      </w:pPr>
      <w:bookmarkStart w:id="2" w:name="fm"/>
      <w:r>
        <w:rPr>
          <w:color w:val="000000"/>
        </w:rPr>
        <w:fldChar w:fldCharType="begin">
          <w:ffData>
            <w:name w:val="fm"/>
            <w:enabled/>
            <w:calcOnExit w:val="0"/>
            <w:textInput/>
          </w:ffData>
        </w:fldChar>
      </w:r>
      <w:r>
        <w:rPr>
          <w:color w:val="000000"/>
        </w:rPr>
        <w:instrText xml:space="preserve"> FORMTEXT </w:instrText>
      </w:r>
      <w:r>
        <w:rPr>
          <w:color w:val="000000"/>
        </w:rPr>
        <w:fldChar w:fldCharType="separate"/>
      </w:r>
      <w:r>
        <w:rPr>
          <w:rFonts w:hint="eastAsia"/>
          <w:color w:val="000000"/>
        </w:rPr>
        <w:t>承德市市场监督管理局</w:t>
      </w:r>
      <w:r>
        <w:rPr>
          <w:color w:val="000000"/>
        </w:rPr>
        <w:fldChar w:fldCharType="end"/>
      </w:r>
      <w:bookmarkEnd w:id="2"/>
      <w:r>
        <w:rPr>
          <w:rFonts w:ascii="Cambria Math" w:hAnsi="Cambria Math" w:cs="Cambria Math"/>
          <w:color w:val="000000"/>
        </w:rPr>
        <w:t>   </w:t>
      </w:r>
      <w:r>
        <w:rPr>
          <w:rStyle w:val="98"/>
          <w:rFonts w:hint="eastAsia"/>
          <w:color w:val="000000"/>
        </w:rPr>
        <w:t>发布</w:t>
      </w:r>
    </w:p>
    <w:p>
      <w:pPr>
        <w:pStyle w:val="32"/>
        <w:rPr>
          <w:color w:val="000000"/>
        </w:rPr>
        <w:sectPr>
          <w:pgSz w:w="11906" w:h="16838"/>
          <w:pgMar w:top="567" w:right="850" w:bottom="1134" w:left="1418" w:header="0" w:footer="0" w:gutter="0"/>
          <w:pgBorders>
            <w:top w:val="none" w:sz="0" w:space="0"/>
            <w:left w:val="none" w:sz="0" w:space="0"/>
            <w:bottom w:val="none" w:sz="0" w:space="0"/>
            <w:right w:val="none" w:sz="0" w:space="0"/>
          </w:pgBorders>
          <w:pgNumType w:start="1"/>
          <w:cols w:space="425" w:num="1"/>
          <w:docGrid w:type="lines" w:linePitch="312" w:charSpace="0"/>
        </w:sectPr>
      </w:pPr>
      <w: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2"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0.05pt;margin-top:184.25pt;height:0pt;width:481.9pt;z-index:251661312;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BCQeJf1wAAAAkBAAAPAAAAAAAA&#10;AAEAIAAAADgAAABkcnMvZG93bnJldi54bWxQSwECFAAUAAAACACHTuJAe9NjR8QBAACBAwAADgAA&#10;AAAAAAABACAAAAA8AQAAZHJzL2Uyb0RvYy54bWxQSwUGAAAAAAYABgBZAQAAcgUAAAAA&#10;">
                <v:fill on="f" focussize="0,0"/>
                <v:stroke color="#000000" joinstyle="round"/>
                <v:imagedata o:title=""/>
                <o:lock v:ext="edit" aspectratio="f"/>
              </v:line>
            </w:pict>
          </mc:Fallback>
        </mc:AlternateContent>
      </w:r>
    </w:p>
    <w:p>
      <w:pPr>
        <w:pStyle w:val="137"/>
        <w:shd w:val="clear" w:color="auto" w:fill="auto"/>
      </w:pPr>
      <w:r>
        <w:rPr>
          <w:rFonts w:hint="eastAsia"/>
        </w:rPr>
        <w:t>前</w:t>
      </w:r>
      <w:r>
        <w:rPr>
          <w:rFonts w:ascii="Cambria Math" w:hAnsi="Cambria Math" w:cs="Cambria Math"/>
        </w:rPr>
        <w:t>  </w:t>
      </w:r>
      <w:r>
        <w:rPr>
          <w:rFonts w:hint="eastAsia"/>
        </w:rPr>
        <w:t>言</w:t>
      </w:r>
    </w:p>
    <w:p>
      <w:pPr>
        <w:pStyle w:val="32"/>
        <w:rPr>
          <w:rFonts w:hAnsi="宋体"/>
          <w:color w:val="000000"/>
          <w:szCs w:val="21"/>
        </w:rPr>
      </w:pPr>
      <w:r>
        <w:rPr>
          <w:rFonts w:hint="eastAsia" w:hAnsi="宋体"/>
          <w:color w:val="000000"/>
        </w:rPr>
        <w:t>本文件按照</w:t>
      </w:r>
      <w:r>
        <w:rPr>
          <w:rFonts w:hAnsi="宋体"/>
          <w:color w:val="000000"/>
        </w:rPr>
        <w:t xml:space="preserve"> GB/T 1.1-20</w:t>
      </w:r>
      <w:r>
        <w:rPr>
          <w:rFonts w:hint="eastAsia" w:hAnsi="宋体"/>
          <w:color w:val="000000"/>
        </w:rPr>
        <w:t>20</w:t>
      </w:r>
      <w:r>
        <w:rPr>
          <w:rFonts w:hint="eastAsia"/>
        </w:rPr>
        <w:t>《标准化工作导则  第1部分：标准化文件的结构和起草规则》的规定起草</w:t>
      </w:r>
      <w:r>
        <w:rPr>
          <w:rFonts w:hint="eastAsia" w:hAnsi="宋体"/>
          <w:color w:val="000000"/>
        </w:rPr>
        <w:t>。</w:t>
      </w:r>
    </w:p>
    <w:p>
      <w:pPr>
        <w:pStyle w:val="32"/>
        <w:rPr>
          <w:rFonts w:hAnsi="宋体"/>
          <w:color w:val="000000"/>
          <w:szCs w:val="21"/>
        </w:rPr>
      </w:pPr>
      <w:r>
        <w:rPr>
          <w:rFonts w:hint="eastAsia" w:hAnsi="宋体"/>
          <w:color w:val="000000"/>
          <w:szCs w:val="21"/>
        </w:rPr>
        <w:t>本文件由</w:t>
      </w:r>
      <w:r>
        <w:rPr>
          <w:rFonts w:hint="eastAsia" w:hAnsi="宋体"/>
          <w:color w:val="000000"/>
        </w:rPr>
        <w:t>承德市</w:t>
      </w:r>
      <w:r>
        <w:rPr>
          <w:rFonts w:hint="eastAsia" w:hAnsi="宋体"/>
          <w:color w:val="000000"/>
          <w:lang w:eastAsia="zh-CN"/>
        </w:rPr>
        <w:t>农业农村</w:t>
      </w:r>
      <w:r>
        <w:rPr>
          <w:rFonts w:hint="eastAsia" w:hAnsi="宋体"/>
          <w:color w:val="000000"/>
        </w:rPr>
        <w:t>局</w:t>
      </w:r>
      <w:r>
        <w:rPr>
          <w:rFonts w:hint="eastAsia" w:hAnsi="宋体"/>
          <w:color w:val="000000"/>
          <w:lang w:eastAsia="zh-CN"/>
        </w:rPr>
        <w:t>提出并</w:t>
      </w:r>
      <w:r>
        <w:rPr>
          <w:rFonts w:hint="eastAsia" w:hAnsi="宋体"/>
          <w:color w:val="000000"/>
        </w:rPr>
        <w:t>归口</w:t>
      </w:r>
      <w:r>
        <w:rPr>
          <w:rFonts w:hint="eastAsia" w:hAnsi="宋体"/>
          <w:color w:val="000000"/>
          <w:szCs w:val="21"/>
        </w:rPr>
        <w:t>。</w:t>
      </w:r>
    </w:p>
    <w:p>
      <w:pPr>
        <w:pStyle w:val="32"/>
        <w:rPr>
          <w:rFonts w:hAnsi="宋体"/>
          <w:szCs w:val="21"/>
        </w:rPr>
      </w:pPr>
      <w:r>
        <w:rPr>
          <w:rFonts w:hint="eastAsia" w:hAnsi="宋体"/>
          <w:szCs w:val="21"/>
        </w:rPr>
        <w:t>本文件起草单位:</w:t>
      </w:r>
      <w:r>
        <w:rPr>
          <w:rFonts w:ascii="宋体" w:hAnsi="宋体" w:cs="宋体"/>
          <w:szCs w:val="21"/>
        </w:rPr>
        <w:t>承德市农林科学院</w:t>
      </w:r>
      <w:r>
        <w:rPr>
          <w:rFonts w:hint="eastAsia" w:ascii="宋体" w:hAnsi="宋体" w:cs="宋体"/>
          <w:szCs w:val="21"/>
          <w:lang w:eastAsia="zh-CN"/>
        </w:rPr>
        <w:t>、</w:t>
      </w:r>
      <w:r>
        <w:rPr>
          <w:rFonts w:hint="eastAsia" w:ascii="宋体" w:hAnsi="宋体" w:cs="宋体"/>
          <w:szCs w:val="21"/>
        </w:rPr>
        <w:t>承德市农产品质量监督检测中心</w:t>
      </w:r>
      <w:r>
        <w:rPr>
          <w:rFonts w:hint="eastAsia" w:hAnsi="宋体"/>
          <w:szCs w:val="21"/>
        </w:rPr>
        <w:t>。</w:t>
      </w:r>
    </w:p>
    <w:p>
      <w:pPr>
        <w:pStyle w:val="32"/>
      </w:pPr>
      <w:r>
        <w:rPr>
          <w:rFonts w:hint="eastAsia" w:hAnsi="宋体"/>
          <w:color w:val="000000"/>
        </w:rPr>
        <w:t>本文件主要起草人：</w:t>
      </w:r>
      <w:r>
        <w:rPr>
          <w:rFonts w:hint="eastAsia" w:ascii="宋体" w:hAnsi="宋体" w:cs="宋体"/>
          <w:szCs w:val="21"/>
        </w:rPr>
        <w:t>陈柏华</w:t>
      </w:r>
      <w:r>
        <w:rPr>
          <w:rFonts w:hint="eastAsia" w:ascii="宋体" w:hAnsi="宋体" w:cs="宋体"/>
          <w:szCs w:val="21"/>
          <w:lang w:eastAsia="zh-CN"/>
        </w:rPr>
        <w:t>、</w:t>
      </w:r>
      <w:r>
        <w:rPr>
          <w:rFonts w:hint="eastAsia" w:ascii="宋体" w:hAnsi="宋体" w:cs="宋体"/>
          <w:szCs w:val="21"/>
        </w:rPr>
        <w:t>韩建国</w:t>
      </w:r>
      <w:r>
        <w:rPr>
          <w:rFonts w:hint="eastAsia" w:ascii="宋体" w:hAnsi="宋体" w:cs="宋体"/>
          <w:szCs w:val="21"/>
          <w:lang w:eastAsia="zh-CN"/>
        </w:rPr>
        <w:t>、</w:t>
      </w:r>
      <w:r>
        <w:rPr>
          <w:rFonts w:hint="eastAsia" w:ascii="宋体" w:hAnsi="宋体" w:cs="宋体"/>
          <w:szCs w:val="21"/>
        </w:rPr>
        <w:t>王丽英</w:t>
      </w:r>
      <w:r>
        <w:rPr>
          <w:rFonts w:hint="eastAsia" w:ascii="宋体" w:hAnsi="宋体" w:cs="宋体"/>
          <w:szCs w:val="21"/>
          <w:lang w:eastAsia="zh-CN"/>
        </w:rPr>
        <w:t>、</w:t>
      </w:r>
      <w:r>
        <w:rPr>
          <w:rFonts w:hint="eastAsia" w:ascii="宋体" w:hAnsi="宋体" w:cs="宋体"/>
          <w:szCs w:val="21"/>
        </w:rPr>
        <w:t>冯楷斌</w:t>
      </w:r>
      <w:r>
        <w:rPr>
          <w:rFonts w:hint="eastAsia" w:ascii="宋体" w:hAnsi="宋体" w:cs="宋体"/>
          <w:szCs w:val="21"/>
          <w:lang w:eastAsia="zh-CN"/>
        </w:rPr>
        <w:t>、</w:t>
      </w:r>
      <w:r>
        <w:rPr>
          <w:rFonts w:hint="eastAsia" w:ascii="宋体" w:hAnsi="宋体" w:cs="宋体"/>
          <w:szCs w:val="21"/>
        </w:rPr>
        <w:t>韩凝</w:t>
      </w:r>
      <w:r>
        <w:rPr>
          <w:rFonts w:hint="eastAsia" w:ascii="宋体" w:hAnsi="宋体" w:cs="宋体"/>
          <w:szCs w:val="21"/>
          <w:lang w:eastAsia="zh-CN"/>
        </w:rPr>
        <w:t>、</w:t>
      </w:r>
      <w:r>
        <w:rPr>
          <w:rFonts w:hint="eastAsia" w:ascii="宋体" w:hAnsi="宋体" w:cs="宋体"/>
          <w:szCs w:val="21"/>
        </w:rPr>
        <w:t>鲍民胡</w:t>
      </w:r>
      <w:r>
        <w:rPr>
          <w:rFonts w:hint="eastAsia" w:ascii="宋体" w:hAnsi="宋体" w:cs="宋体"/>
          <w:szCs w:val="21"/>
          <w:lang w:eastAsia="zh-CN"/>
        </w:rPr>
        <w:t>、</w:t>
      </w:r>
      <w:r>
        <w:rPr>
          <w:rFonts w:hint="eastAsia" w:ascii="宋体" w:hAnsi="宋体" w:cs="宋体"/>
          <w:szCs w:val="21"/>
        </w:rPr>
        <w:t>朱广宇</w:t>
      </w:r>
      <w:r>
        <w:rPr>
          <w:rFonts w:hint="eastAsia" w:ascii="宋体" w:hAnsi="宋体" w:cs="宋体"/>
          <w:szCs w:val="21"/>
          <w:lang w:eastAsia="zh-CN"/>
        </w:rPr>
        <w:t>、</w:t>
      </w:r>
      <w:r>
        <w:rPr>
          <w:rFonts w:hint="eastAsia" w:ascii="宋体" w:hAnsi="宋体" w:cs="宋体"/>
          <w:szCs w:val="21"/>
        </w:rPr>
        <w:t>杜宏儒</w:t>
      </w:r>
      <w:r>
        <w:rPr>
          <w:rFonts w:hint="eastAsia" w:ascii="宋体" w:hAnsi="宋体" w:cs="宋体"/>
          <w:szCs w:val="21"/>
          <w:lang w:eastAsia="zh-CN"/>
        </w:rPr>
        <w:t>、</w:t>
      </w:r>
      <w:r>
        <w:rPr>
          <w:rFonts w:hint="eastAsia" w:ascii="宋体" w:hAnsi="宋体" w:cs="宋体"/>
          <w:szCs w:val="21"/>
        </w:rPr>
        <w:t>袁瑞敏</w:t>
      </w:r>
      <w:r>
        <w:rPr>
          <w:rFonts w:hint="eastAsia" w:ascii="宋体" w:hAnsi="宋体" w:cs="宋体"/>
          <w:szCs w:val="21"/>
          <w:lang w:eastAsia="zh-CN"/>
        </w:rPr>
        <w:t>、</w:t>
      </w:r>
      <w:r>
        <w:rPr>
          <w:rFonts w:hint="eastAsia" w:ascii="宋体" w:hAnsi="宋体" w:cs="宋体"/>
          <w:szCs w:val="21"/>
        </w:rPr>
        <w:t>王健强</w:t>
      </w:r>
      <w:r>
        <w:rPr>
          <w:rFonts w:hint="eastAsia" w:ascii="宋体" w:hAnsi="宋体" w:cs="宋体"/>
          <w:szCs w:val="21"/>
          <w:lang w:eastAsia="zh-CN"/>
        </w:rPr>
        <w:t>、</w:t>
      </w:r>
      <w:r>
        <w:rPr>
          <w:rFonts w:hint="eastAsia" w:ascii="宋体" w:hAnsi="宋体" w:cs="宋体"/>
          <w:szCs w:val="21"/>
        </w:rPr>
        <w:t>乔红碧</w:t>
      </w:r>
      <w:r>
        <w:rPr>
          <w:rFonts w:hint="eastAsia" w:ascii="宋体" w:hAnsi="宋体" w:cs="宋体"/>
          <w:szCs w:val="21"/>
          <w:lang w:eastAsia="zh-CN"/>
        </w:rPr>
        <w:t>、</w:t>
      </w:r>
      <w:r>
        <w:rPr>
          <w:rFonts w:hint="eastAsia" w:ascii="宋体" w:hAnsi="宋体" w:cs="宋体"/>
          <w:szCs w:val="21"/>
        </w:rPr>
        <w:t>于树宏</w:t>
      </w:r>
      <w:r>
        <w:rPr>
          <w:rFonts w:hint="eastAsia" w:ascii="宋体" w:hAnsi="宋体" w:cs="宋体"/>
          <w:szCs w:val="21"/>
          <w:lang w:eastAsia="zh-CN"/>
        </w:rPr>
        <w:t>、</w:t>
      </w:r>
      <w:r>
        <w:rPr>
          <w:rFonts w:hint="eastAsia" w:ascii="宋体" w:hAnsi="宋体" w:cs="宋体"/>
          <w:szCs w:val="21"/>
        </w:rPr>
        <w:t>孙海镝</w:t>
      </w:r>
      <w:r>
        <w:rPr>
          <w:rFonts w:hint="eastAsia" w:ascii="宋体" w:hAnsi="宋体" w:cs="宋体"/>
          <w:szCs w:val="21"/>
          <w:lang w:eastAsia="zh-CN"/>
        </w:rPr>
        <w:t>、</w:t>
      </w:r>
      <w:r>
        <w:rPr>
          <w:rFonts w:hint="eastAsia" w:ascii="宋体" w:hAnsi="宋体" w:cs="宋体"/>
          <w:szCs w:val="21"/>
        </w:rPr>
        <w:t>杨立欣</w:t>
      </w:r>
      <w:r>
        <w:rPr>
          <w:rFonts w:hint="eastAsia"/>
        </w:rPr>
        <w:t>。</w:t>
      </w: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tabs>
          <w:tab w:val="left" w:pos="3413"/>
          <w:tab w:val="clear" w:pos="4201"/>
        </w:tabs>
        <w:rPr>
          <w:color w:val="000000"/>
        </w:rPr>
      </w:pPr>
      <w:r>
        <w:rPr>
          <w:rFonts w:hint="eastAsia"/>
          <w:color w:val="000000"/>
        </w:rPr>
        <w:tab/>
      </w: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rPr>
          <w:color w:val="000000"/>
        </w:rPr>
      </w:pPr>
    </w:p>
    <w:p>
      <w:pPr>
        <w:pStyle w:val="32"/>
        <w:ind w:firstLine="0" w:firstLineChars="0"/>
        <w:rPr>
          <w:color w:val="000000"/>
        </w:rPr>
        <w:sectPr>
          <w:headerReference r:id="rId3" w:type="default"/>
          <w:footerReference r:id="rId4" w:type="default"/>
          <w:pgSz w:w="11906" w:h="16838"/>
          <w:pgMar w:top="567" w:right="1134" w:bottom="1134" w:left="1418" w:header="1418" w:footer="1134" w:gutter="0"/>
          <w:pgBorders>
            <w:top w:val="none" w:sz="0" w:space="0"/>
            <w:left w:val="none" w:sz="0" w:space="0"/>
            <w:bottom w:val="none" w:sz="0" w:space="0"/>
            <w:right w:val="none" w:sz="0" w:space="0"/>
          </w:pgBorders>
          <w:pgNumType w:fmt="upperRoman" w:start="1"/>
          <w:cols w:space="425" w:num="1"/>
          <w:formProt w:val="0"/>
          <w:docGrid w:type="lines" w:linePitch="312" w:charSpace="0"/>
        </w:sectPr>
      </w:pPr>
    </w:p>
    <w:p>
      <w:pPr>
        <w:pStyle w:val="103"/>
        <w:framePr w:w="0" w:hRule="auto" w:wrap="auto" w:vAnchor="margin" w:hAnchor="text" w:xAlign="left" w:yAlign="inline"/>
        <w:spacing w:before="156" w:after="156"/>
        <w:rPr>
          <w:sz w:val="32"/>
          <w:szCs w:val="32"/>
        </w:rPr>
      </w:pPr>
      <w:r>
        <w:rPr>
          <w:rFonts w:eastAsia="黑体"/>
          <w:sz w:val="32"/>
          <w:szCs w:val="32"/>
        </w:rPr>
        <w:t>桃山地节水栽培技术规程</w:t>
      </w:r>
    </w:p>
    <w:p>
      <w:pPr>
        <w:pStyle w:val="70"/>
        <w:spacing w:before="312" w:after="312"/>
      </w:pPr>
      <w:r>
        <w:t>范围</w:t>
      </w:r>
    </w:p>
    <w:p>
      <w:pPr>
        <w:ind w:firstLine="420" w:firstLineChars="200"/>
        <w:rPr>
          <w:szCs w:val="21"/>
        </w:rPr>
      </w:pPr>
      <w:r>
        <w:rPr>
          <w:szCs w:val="21"/>
        </w:rPr>
        <w:t>本</w:t>
      </w:r>
      <w:r>
        <w:rPr>
          <w:rFonts w:hint="eastAsia"/>
          <w:szCs w:val="21"/>
        </w:rPr>
        <w:t>文件</w:t>
      </w:r>
      <w:r>
        <w:rPr>
          <w:szCs w:val="21"/>
        </w:rPr>
        <w:t>规定了</w:t>
      </w:r>
      <w:r>
        <w:rPr>
          <w:rFonts w:ascii="Calibri" w:hAnsi="Calibri" w:cs="宋体"/>
          <w:szCs w:val="21"/>
        </w:rPr>
        <w:t>桃山地节水栽培的</w:t>
      </w:r>
      <w:r>
        <w:rPr>
          <w:rFonts w:hint="eastAsia" w:ascii="Calibri" w:hAnsi="Calibri"/>
        </w:rPr>
        <w:t>建</w:t>
      </w:r>
      <w:r>
        <w:rPr>
          <w:rFonts w:ascii="Calibri" w:hAnsi="Calibri"/>
        </w:rPr>
        <w:t>园</w:t>
      </w:r>
      <w:r>
        <w:rPr>
          <w:rFonts w:ascii="Calibri" w:hAnsi="Calibri" w:cs="宋体"/>
          <w:szCs w:val="21"/>
        </w:rPr>
        <w:t>、整形修剪、生长季管理、清园与冬季防寒</w:t>
      </w:r>
      <w:r>
        <w:rPr>
          <w:rFonts w:hint="eastAsia" w:ascii="Calibri" w:hAnsi="Calibri" w:cs="宋体"/>
          <w:szCs w:val="21"/>
        </w:rPr>
        <w:t>和</w:t>
      </w:r>
      <w:r>
        <w:rPr>
          <w:rFonts w:ascii="Calibri" w:hAnsi="Calibri" w:cs="宋体"/>
          <w:szCs w:val="21"/>
        </w:rPr>
        <w:t>病虫害防治等技术内容</w:t>
      </w:r>
      <w:r>
        <w:rPr>
          <w:rFonts w:hint="eastAsia"/>
          <w:szCs w:val="21"/>
        </w:rPr>
        <w:t>。</w:t>
      </w:r>
    </w:p>
    <w:p>
      <w:pPr>
        <w:ind w:firstLine="420" w:firstLineChars="200"/>
      </w:pPr>
      <w:r>
        <w:rPr>
          <w:szCs w:val="21"/>
        </w:rPr>
        <w:t>本</w:t>
      </w:r>
      <w:r>
        <w:rPr>
          <w:rFonts w:hint="eastAsia"/>
          <w:szCs w:val="21"/>
        </w:rPr>
        <w:t>文件</w:t>
      </w:r>
      <w:r>
        <w:rPr>
          <w:szCs w:val="21"/>
        </w:rPr>
        <w:t>适用于</w:t>
      </w:r>
      <w:r>
        <w:rPr>
          <w:rFonts w:hint="eastAsia" w:ascii="Calibri" w:hAnsi="Calibri" w:cs="宋体"/>
          <w:szCs w:val="21"/>
        </w:rPr>
        <w:t>承德市</w:t>
      </w:r>
      <w:r>
        <w:rPr>
          <w:rFonts w:ascii="Calibri" w:hAnsi="Calibri" w:cs="宋体"/>
          <w:szCs w:val="21"/>
        </w:rPr>
        <w:t>境内和气候条件相似地区桃山地栽培管理</w:t>
      </w:r>
      <w:r>
        <w:rPr>
          <w:szCs w:val="21"/>
        </w:rPr>
        <w:t>。</w:t>
      </w:r>
    </w:p>
    <w:p>
      <w:pPr>
        <w:pStyle w:val="70"/>
        <w:spacing w:before="312" w:after="312"/>
      </w:pPr>
      <w:r>
        <w:t>规范性引用文件</w:t>
      </w:r>
    </w:p>
    <w:p>
      <w:pPr>
        <w:ind w:firstLine="420" w:firstLineChars="200"/>
        <w:rPr>
          <w:szCs w:val="21"/>
        </w:rPr>
      </w:pPr>
      <w:r>
        <w:rPr>
          <w:rFonts w:hint="eastAsia"/>
        </w:rPr>
        <w:t>下列文件中的内容通过文中的规范性引用而构成本文件必不可少的条款</w:t>
      </w:r>
      <w:r>
        <w:rPr>
          <w:rFonts w:hint="eastAsia"/>
          <w:lang w:eastAsia="zh-CN"/>
        </w:rPr>
        <w:t>。</w:t>
      </w:r>
      <w:r>
        <w:rPr>
          <w:rFonts w:hint="eastAsia"/>
        </w:rPr>
        <w:t>其中，注日期的引用文件，仅该日期对应的版本适用于本文件；不注日期的引用文件，其最新版本（包括所有的修改单）适用于本文件</w:t>
      </w:r>
      <w:r>
        <w:rPr>
          <w:szCs w:val="21"/>
        </w:rPr>
        <w:t>。</w:t>
      </w:r>
    </w:p>
    <w:p>
      <w:pPr>
        <w:ind w:firstLine="420" w:firstLineChars="200"/>
        <w:rPr>
          <w:rFonts w:ascii="宋体" w:hAnsi="宋体" w:cs="宋体"/>
          <w:szCs w:val="21"/>
        </w:rPr>
      </w:pPr>
      <w:r>
        <w:rPr>
          <w:rFonts w:ascii="宋体" w:hAnsi="宋体" w:cs="宋体"/>
          <w:szCs w:val="21"/>
        </w:rPr>
        <w:t>GB/</w:t>
      </w:r>
      <w:r>
        <w:rPr>
          <w:rFonts w:hint="default" w:ascii="宋体" w:hAnsi="宋体" w:cs="宋体"/>
          <w:szCs w:val="21"/>
          <w:lang w:val="en"/>
        </w:rPr>
        <w:t xml:space="preserve">T </w:t>
      </w:r>
      <w:r>
        <w:rPr>
          <w:rFonts w:ascii="宋体" w:hAnsi="宋体" w:cs="宋体"/>
          <w:szCs w:val="21"/>
        </w:rPr>
        <w:t>19175-2010</w:t>
      </w:r>
      <w:r>
        <w:rPr>
          <w:rFonts w:hint="default" w:ascii="宋体" w:hAnsi="宋体" w:cs="宋体"/>
          <w:szCs w:val="21"/>
          <w:lang w:val="en"/>
        </w:rPr>
        <w:t xml:space="preserve">  </w:t>
      </w:r>
      <w:r>
        <w:rPr>
          <w:rFonts w:ascii="宋体" w:hAnsi="宋体" w:cs="宋体"/>
          <w:szCs w:val="21"/>
        </w:rPr>
        <w:t>桃苗木</w:t>
      </w:r>
    </w:p>
    <w:p>
      <w:pPr>
        <w:ind w:firstLine="420" w:firstLineChars="200"/>
        <w:rPr>
          <w:rFonts w:ascii="宋体" w:hAnsi="宋体" w:cs="宋体"/>
          <w:szCs w:val="21"/>
        </w:rPr>
      </w:pPr>
      <w:r>
        <w:rPr>
          <w:rFonts w:ascii="宋体" w:hAnsi="宋体" w:cs="宋体"/>
          <w:szCs w:val="21"/>
        </w:rPr>
        <w:t>GB/T</w:t>
      </w:r>
      <w:r>
        <w:rPr>
          <w:rFonts w:hint="eastAsia" w:ascii="宋体" w:hAnsi="宋体" w:cs="宋体"/>
          <w:szCs w:val="21"/>
          <w:lang w:val="en-US" w:eastAsia="zh-CN"/>
        </w:rPr>
        <w:t xml:space="preserve"> </w:t>
      </w:r>
      <w:r>
        <w:rPr>
          <w:rFonts w:ascii="宋体" w:hAnsi="宋体" w:cs="宋体"/>
          <w:szCs w:val="21"/>
        </w:rPr>
        <w:t>50485</w:t>
      </w:r>
      <w:r>
        <w:rPr>
          <w:rFonts w:hint="eastAsia" w:ascii="宋体" w:hAnsi="宋体" w:cs="宋体"/>
          <w:szCs w:val="21"/>
          <w:lang w:val="en-US" w:eastAsia="zh-CN"/>
        </w:rPr>
        <w:t xml:space="preserve">  </w:t>
      </w:r>
      <w:r>
        <w:rPr>
          <w:rFonts w:ascii="宋体" w:hAnsi="宋体" w:cs="宋体"/>
          <w:szCs w:val="21"/>
        </w:rPr>
        <w:t>微灌工程技术规范</w:t>
      </w:r>
    </w:p>
    <w:p>
      <w:pPr>
        <w:ind w:firstLine="420" w:firstLineChars="200"/>
        <w:rPr>
          <w:rFonts w:ascii="宋体" w:hAnsi="宋体" w:cs="宋体"/>
          <w:szCs w:val="21"/>
        </w:rPr>
      </w:pPr>
      <w:r>
        <w:rPr>
          <w:rFonts w:ascii="宋体" w:hAnsi="宋体" w:cs="宋体"/>
          <w:szCs w:val="21"/>
        </w:rPr>
        <w:t>GB/T 50596</w:t>
      </w:r>
      <w:r>
        <w:rPr>
          <w:rFonts w:hint="eastAsia" w:ascii="宋体" w:hAnsi="宋体" w:cs="宋体"/>
          <w:szCs w:val="21"/>
          <w:lang w:val="en-US" w:eastAsia="zh-CN"/>
        </w:rPr>
        <w:t xml:space="preserve">  </w:t>
      </w:r>
      <w:r>
        <w:rPr>
          <w:rFonts w:ascii="宋体" w:hAnsi="宋体" w:cs="宋体"/>
          <w:szCs w:val="21"/>
        </w:rPr>
        <w:t>雨水集蓄利用工程</w:t>
      </w:r>
      <w:r>
        <w:rPr>
          <w:rFonts w:hint="default" w:ascii="宋体" w:hAnsi="宋体" w:cs="宋体"/>
          <w:szCs w:val="21"/>
          <w:lang w:val="en"/>
        </w:rPr>
        <w:t xml:space="preserve"> </w:t>
      </w:r>
      <w:r>
        <w:rPr>
          <w:rFonts w:ascii="宋体" w:hAnsi="宋体" w:cs="宋体"/>
          <w:szCs w:val="21"/>
        </w:rPr>
        <w:t>技术规范</w:t>
      </w:r>
    </w:p>
    <w:p>
      <w:pPr>
        <w:ind w:firstLine="420" w:firstLineChars="200"/>
        <w:rPr>
          <w:rFonts w:ascii="宋体" w:hAnsi="宋体" w:cs="宋体"/>
          <w:szCs w:val="21"/>
        </w:rPr>
      </w:pPr>
      <w:r>
        <w:rPr>
          <w:rFonts w:ascii="宋体" w:hAnsi="宋体" w:cs="宋体"/>
          <w:szCs w:val="21"/>
        </w:rPr>
        <w:t>NY/T 391</w:t>
      </w:r>
      <w:r>
        <w:rPr>
          <w:rFonts w:hint="default" w:ascii="宋体" w:hAnsi="宋体" w:cs="宋体"/>
          <w:szCs w:val="21"/>
          <w:lang w:val="en"/>
        </w:rPr>
        <w:t xml:space="preserve">  </w:t>
      </w:r>
      <w:r>
        <w:rPr>
          <w:rFonts w:ascii="宋体" w:hAnsi="宋体" w:cs="宋体"/>
          <w:szCs w:val="21"/>
        </w:rPr>
        <w:t>绿色食品 产地环境质量</w:t>
      </w:r>
    </w:p>
    <w:p>
      <w:pPr>
        <w:ind w:firstLine="420" w:firstLineChars="200"/>
        <w:rPr>
          <w:rFonts w:ascii="宋体" w:hAnsi="宋体" w:cs="宋体"/>
          <w:szCs w:val="21"/>
        </w:rPr>
      </w:pPr>
      <w:r>
        <w:rPr>
          <w:rFonts w:ascii="宋体" w:hAnsi="宋体" w:cs="宋体"/>
          <w:szCs w:val="21"/>
        </w:rPr>
        <w:t>NY/T 393</w:t>
      </w:r>
      <w:r>
        <w:rPr>
          <w:rFonts w:hint="default" w:ascii="宋体" w:hAnsi="宋体" w:cs="宋体"/>
          <w:szCs w:val="21"/>
          <w:lang w:val="en"/>
        </w:rPr>
        <w:t xml:space="preserve">  </w:t>
      </w:r>
      <w:r>
        <w:rPr>
          <w:rFonts w:ascii="宋体" w:hAnsi="宋体" w:cs="宋体"/>
          <w:szCs w:val="21"/>
        </w:rPr>
        <w:t>绿色食品 农药使用准则</w:t>
      </w:r>
    </w:p>
    <w:p>
      <w:pPr>
        <w:ind w:firstLine="420" w:firstLineChars="200"/>
        <w:rPr>
          <w:rFonts w:ascii="宋体" w:hAnsi="宋体" w:cs="宋体"/>
          <w:szCs w:val="21"/>
        </w:rPr>
      </w:pPr>
      <w:r>
        <w:rPr>
          <w:rFonts w:ascii="宋体" w:hAnsi="宋体" w:cs="宋体"/>
          <w:szCs w:val="21"/>
        </w:rPr>
        <w:t>NY/T 394</w:t>
      </w:r>
      <w:r>
        <w:rPr>
          <w:rFonts w:hint="default" w:ascii="宋体" w:hAnsi="宋体" w:cs="宋体"/>
          <w:szCs w:val="21"/>
          <w:lang w:val="en"/>
        </w:rPr>
        <w:t xml:space="preserve">  </w:t>
      </w:r>
      <w:r>
        <w:rPr>
          <w:rFonts w:ascii="宋体" w:hAnsi="宋体" w:cs="宋体"/>
          <w:szCs w:val="21"/>
        </w:rPr>
        <w:t>绿色食品 肥料使用准则</w:t>
      </w:r>
    </w:p>
    <w:p>
      <w:pPr>
        <w:ind w:firstLine="420" w:firstLineChars="200"/>
        <w:rPr>
          <w:rFonts w:hint="default"/>
          <w:lang w:val="en-US"/>
        </w:rPr>
      </w:pPr>
      <w:r>
        <w:rPr>
          <w:rFonts w:ascii="宋体" w:hAnsi="宋体" w:cs="宋体"/>
          <w:szCs w:val="21"/>
        </w:rPr>
        <w:t>NY/T 586-2002 鲜桃</w:t>
      </w:r>
    </w:p>
    <w:p>
      <w:pPr>
        <w:pStyle w:val="70"/>
        <w:spacing w:before="312" w:after="312"/>
      </w:pPr>
      <w:r>
        <w:t>术语和定义</w:t>
      </w:r>
    </w:p>
    <w:p>
      <w:pPr>
        <w:spacing w:before="156" w:beforeLines="50" w:after="156" w:afterLines="50" w:line="360" w:lineRule="auto"/>
        <w:ind w:firstLine="420" w:firstLineChars="200"/>
        <w:rPr>
          <w:kern w:val="0"/>
          <w:szCs w:val="21"/>
        </w:rPr>
      </w:pPr>
      <w:r>
        <w:rPr>
          <w:rFonts w:hint="eastAsia"/>
          <w:kern w:val="0"/>
          <w:szCs w:val="21"/>
        </w:rPr>
        <w:t>下列</w:t>
      </w:r>
      <w:r>
        <w:rPr>
          <w:kern w:val="0"/>
          <w:szCs w:val="21"/>
        </w:rPr>
        <w:t>术语和定义</w:t>
      </w:r>
      <w:r>
        <w:rPr>
          <w:rFonts w:hint="eastAsia"/>
          <w:kern w:val="0"/>
          <w:szCs w:val="21"/>
        </w:rPr>
        <w:t>适用于本文件</w:t>
      </w:r>
      <w:r>
        <w:rPr>
          <w:kern w:val="0"/>
          <w:szCs w:val="21"/>
        </w:rPr>
        <w:t>。</w:t>
      </w:r>
    </w:p>
    <w:p>
      <w:pPr>
        <w:pStyle w:val="67"/>
        <w:spacing w:before="156" w:after="156"/>
      </w:pPr>
    </w:p>
    <w:p>
      <w:pPr>
        <w:pStyle w:val="32"/>
        <w:bidi w:val="0"/>
      </w:pPr>
      <w:r>
        <w:rPr>
          <w:rFonts w:hint="eastAsia" w:ascii="方正黑体_GBK" w:hAnsi="方正黑体_GBK" w:eastAsia="方正黑体_GBK" w:cs="方正黑体_GBK"/>
        </w:rPr>
        <w:t>山地</w:t>
      </w:r>
    </w:p>
    <w:p>
      <w:pPr>
        <w:pStyle w:val="32"/>
        <w:rPr>
          <w:rFonts w:ascii="Calibri" w:hAnsi="Calibri"/>
        </w:rPr>
      </w:pPr>
      <w:r>
        <w:rPr>
          <w:rFonts w:hAnsi="宋体" w:cs="宋体"/>
          <w:kern w:val="2"/>
          <w:szCs w:val="21"/>
        </w:rPr>
        <w:t>坡度在</w:t>
      </w:r>
      <w:r>
        <w:rPr>
          <w:rFonts w:hint="eastAsia" w:hAnsi="宋体" w:eastAsia="宋体" w:cs="Times New Roman"/>
          <w:color w:val="auto"/>
          <w:spacing w:val="60"/>
          <w:kern w:val="24"/>
        </w:rPr>
        <w:t>6</w:t>
      </w:r>
      <w:r>
        <w:rPr>
          <w:rFonts w:hAnsi="宋体" w:cs="宋体"/>
          <w:kern w:val="2"/>
          <w:szCs w:val="21"/>
        </w:rPr>
        <w:t>°～2</w:t>
      </w:r>
      <w:r>
        <w:rPr>
          <w:rFonts w:hint="eastAsia" w:hAnsi="宋体" w:eastAsia="宋体" w:cs="Times New Roman"/>
          <w:color w:val="auto"/>
          <w:spacing w:val="60"/>
          <w:kern w:val="24"/>
        </w:rPr>
        <w:t>5</w:t>
      </w:r>
      <w:r>
        <w:rPr>
          <w:rFonts w:hAnsi="宋体" w:cs="宋体"/>
          <w:kern w:val="2"/>
          <w:szCs w:val="21"/>
        </w:rPr>
        <w:t>°，</w:t>
      </w:r>
      <w:r>
        <w:rPr>
          <w:rFonts w:hint="eastAsia" w:hAnsi="宋体" w:cs="宋体"/>
          <w:kern w:val="2"/>
          <w:szCs w:val="21"/>
        </w:rPr>
        <w:t>地表水资源缺乏，</w:t>
      </w:r>
      <w:r>
        <w:rPr>
          <w:rFonts w:hAnsi="宋体" w:cs="宋体"/>
          <w:kern w:val="2"/>
          <w:szCs w:val="21"/>
        </w:rPr>
        <w:t>耕作条件差，地形起伏变化较大</w:t>
      </w:r>
      <w:r>
        <w:rPr>
          <w:rFonts w:hint="eastAsia" w:hAnsi="宋体" w:cs="宋体"/>
          <w:kern w:val="2"/>
          <w:szCs w:val="21"/>
        </w:rPr>
        <w:t>，</w:t>
      </w:r>
      <w:r>
        <w:rPr>
          <w:rFonts w:hAnsi="宋体" w:cs="宋体"/>
          <w:kern w:val="2"/>
          <w:szCs w:val="21"/>
        </w:rPr>
        <w:t>容易发生水土流失</w:t>
      </w:r>
      <w:r>
        <w:rPr>
          <w:rFonts w:hint="eastAsia" w:hAnsi="宋体" w:cs="宋体"/>
          <w:kern w:val="2"/>
          <w:szCs w:val="21"/>
        </w:rPr>
        <w:t>，</w:t>
      </w:r>
      <w:r>
        <w:rPr>
          <w:rFonts w:hAnsi="宋体" w:cs="宋体"/>
          <w:kern w:val="2"/>
          <w:szCs w:val="21"/>
        </w:rPr>
        <w:t>远离水源</w:t>
      </w:r>
      <w:r>
        <w:rPr>
          <w:rFonts w:hint="eastAsia" w:hAnsi="宋体" w:cs="宋体"/>
          <w:kern w:val="2"/>
          <w:szCs w:val="21"/>
        </w:rPr>
        <w:t>，适宜种植节水抗旱作物</w:t>
      </w:r>
      <w:r>
        <w:rPr>
          <w:rFonts w:hAnsi="宋体" w:cs="宋体"/>
          <w:kern w:val="2"/>
          <w:szCs w:val="21"/>
        </w:rPr>
        <w:t>的丘陵山地。</w:t>
      </w:r>
    </w:p>
    <w:p>
      <w:pPr>
        <w:pStyle w:val="70"/>
        <w:spacing w:before="312" w:after="312"/>
      </w:pPr>
      <w:r>
        <w:rPr>
          <w:rFonts w:hint="eastAsia"/>
        </w:rPr>
        <w:t>建</w:t>
      </w:r>
      <w:r>
        <w:t xml:space="preserve">园 </w:t>
      </w:r>
    </w:p>
    <w:p>
      <w:pPr>
        <w:pStyle w:val="67"/>
        <w:spacing w:before="156" w:after="156"/>
      </w:pPr>
      <w:r>
        <w:t>园址选择</w:t>
      </w:r>
    </w:p>
    <w:p>
      <w:pPr>
        <w:spacing w:line="240" w:lineRule="auto"/>
        <w:ind w:firstLine="420" w:firstLineChars="200"/>
        <w:rPr>
          <w:rFonts w:ascii="宋体" w:hAnsi="宋体" w:cs="宋体"/>
          <w:szCs w:val="21"/>
        </w:rPr>
      </w:pPr>
      <w:r>
        <w:rPr>
          <w:rFonts w:hint="eastAsia" w:ascii="宋体" w:hAnsi="宋体" w:cs="宋体"/>
          <w:szCs w:val="21"/>
        </w:rPr>
        <w:t>在年平均气温</w:t>
      </w:r>
      <w:r>
        <w:rPr>
          <w:rFonts w:hint="eastAsia" w:ascii="宋体" w:hAnsi="宋体" w:eastAsia="宋体" w:cs="Times New Roman"/>
          <w:color w:val="auto"/>
          <w:spacing w:val="60"/>
          <w:kern w:val="24"/>
          <w:sz w:val="21"/>
          <w:szCs w:val="20"/>
          <w:lang w:val="en-US" w:eastAsia="zh-CN" w:bidi="ar-SA"/>
        </w:rPr>
        <w:t>8</w:t>
      </w:r>
      <w:r>
        <w:rPr>
          <w:rFonts w:hint="eastAsia" w:ascii="宋体" w:hAnsi="宋体" w:cs="宋体"/>
          <w:szCs w:val="21"/>
        </w:rPr>
        <w:t>℃～1</w:t>
      </w:r>
      <w:r>
        <w:rPr>
          <w:rFonts w:hint="eastAsia" w:ascii="宋体" w:hAnsi="宋体" w:eastAsia="宋体" w:cs="Times New Roman"/>
          <w:color w:val="auto"/>
          <w:spacing w:val="60"/>
          <w:kern w:val="24"/>
          <w:sz w:val="21"/>
          <w:szCs w:val="20"/>
          <w:lang w:val="en-US" w:eastAsia="zh-CN" w:bidi="ar-SA"/>
        </w:rPr>
        <w:t>4</w:t>
      </w:r>
      <w:r>
        <w:rPr>
          <w:rFonts w:hint="eastAsia" w:ascii="宋体" w:hAnsi="宋体" w:cs="宋体"/>
          <w:szCs w:val="21"/>
        </w:rPr>
        <w:t>℃，1月份平均气温≥-1</w:t>
      </w:r>
      <w:r>
        <w:rPr>
          <w:rFonts w:hint="eastAsia" w:ascii="宋体" w:hAnsi="宋体" w:eastAsia="宋体" w:cs="Times New Roman"/>
          <w:color w:val="auto"/>
          <w:spacing w:val="60"/>
          <w:kern w:val="24"/>
          <w:sz w:val="21"/>
          <w:szCs w:val="20"/>
          <w:lang w:val="en-US" w:eastAsia="zh-CN" w:bidi="ar-SA"/>
        </w:rPr>
        <w:t>0</w:t>
      </w:r>
      <w:r>
        <w:rPr>
          <w:rFonts w:hint="eastAsia" w:ascii="宋体" w:hAnsi="宋体" w:cs="宋体"/>
          <w:szCs w:val="21"/>
        </w:rPr>
        <w:t>℃，最低温度≥-2</w:t>
      </w:r>
      <w:r>
        <w:rPr>
          <w:rFonts w:hint="eastAsia" w:ascii="宋体" w:hAnsi="宋体" w:eastAsia="宋体" w:cs="Times New Roman"/>
          <w:color w:val="auto"/>
          <w:spacing w:val="60"/>
          <w:kern w:val="24"/>
          <w:sz w:val="21"/>
          <w:szCs w:val="20"/>
          <w:lang w:val="en-US" w:eastAsia="zh-CN" w:bidi="ar-SA"/>
        </w:rPr>
        <w:t>4</w:t>
      </w:r>
      <w:r>
        <w:rPr>
          <w:rFonts w:hint="eastAsia" w:ascii="宋体" w:hAnsi="宋体" w:cs="宋体"/>
          <w:szCs w:val="21"/>
        </w:rPr>
        <w:t>℃，年降雨量≥50</w:t>
      </w:r>
      <w:r>
        <w:rPr>
          <w:rFonts w:hint="eastAsia" w:ascii="宋体" w:hAnsi="宋体" w:eastAsia="宋体" w:cs="Times New Roman"/>
          <w:color w:val="auto"/>
          <w:spacing w:val="60"/>
          <w:kern w:val="24"/>
          <w:sz w:val="21"/>
          <w:szCs w:val="20"/>
          <w:lang w:val="en-US" w:eastAsia="zh-CN" w:bidi="ar-SA"/>
        </w:rPr>
        <w:t>0</w:t>
      </w:r>
      <w:r>
        <w:rPr>
          <w:rFonts w:hint="eastAsia" w:ascii="宋体" w:hAnsi="宋体" w:cs="宋体"/>
          <w:szCs w:val="21"/>
        </w:rPr>
        <w:t>mm的地区；选择光照充足、地势高燥、土层厚度≥5</w:t>
      </w:r>
      <w:r>
        <w:rPr>
          <w:rFonts w:hint="eastAsia" w:ascii="宋体" w:hAnsi="宋体" w:eastAsia="宋体" w:cs="Times New Roman"/>
          <w:color w:val="auto"/>
          <w:spacing w:val="60"/>
          <w:kern w:val="24"/>
          <w:sz w:val="21"/>
          <w:szCs w:val="20"/>
          <w:lang w:val="en-US" w:eastAsia="zh-CN" w:bidi="ar-SA"/>
        </w:rPr>
        <w:t>0</w:t>
      </w:r>
      <w:r>
        <w:rPr>
          <w:rFonts w:hint="eastAsia" w:ascii="宋体" w:hAnsi="宋体" w:cs="宋体"/>
          <w:szCs w:val="21"/>
        </w:rPr>
        <w:t xml:space="preserve">cm、土壤ph值5.5～7.5、通透性良好、富含有机质的壤土或沙壤土地，避开风口和重茬的地块建园。园地环境质量符合NY/T 391 </w:t>
      </w:r>
      <w:r>
        <w:rPr>
          <w:rFonts w:hint="eastAsia" w:ascii="宋体" w:hAnsi="宋体" w:cs="宋体"/>
          <w:szCs w:val="21"/>
          <w:lang w:eastAsia="zh-CN"/>
        </w:rPr>
        <w:t>中</w:t>
      </w:r>
      <w:r>
        <w:rPr>
          <w:rFonts w:hint="eastAsia" w:ascii="宋体" w:hAnsi="宋体" w:cs="宋体"/>
          <w:szCs w:val="21"/>
        </w:rPr>
        <w:t>的规定。</w:t>
      </w:r>
    </w:p>
    <w:p>
      <w:pPr>
        <w:pStyle w:val="67"/>
        <w:spacing w:before="156" w:after="156"/>
      </w:pPr>
      <w:r>
        <w:t>园地规划</w:t>
      </w:r>
    </w:p>
    <w:p>
      <w:pPr>
        <w:pStyle w:val="71"/>
        <w:spacing w:before="156" w:after="156"/>
        <w:rPr>
          <w:rFonts w:ascii="Calibri" w:hAnsi="Calibri"/>
        </w:rPr>
      </w:pPr>
      <w:r>
        <w:rPr>
          <w:rFonts w:ascii="Calibri" w:hAnsi="Calibri"/>
        </w:rPr>
        <w:t>小区规划</w:t>
      </w:r>
    </w:p>
    <w:p>
      <w:pPr>
        <w:ind w:firstLine="420" w:firstLineChars="200"/>
        <w:rPr>
          <w:rFonts w:ascii="宋体" w:hAnsi="宋体" w:cs="宋体"/>
          <w:szCs w:val="21"/>
        </w:rPr>
      </w:pPr>
      <w:r>
        <w:rPr>
          <w:rFonts w:ascii="宋体" w:hAnsi="宋体" w:cs="宋体"/>
          <w:szCs w:val="21"/>
        </w:rPr>
        <w:t>依据桃园规划要根据地形地貌、土壤性质、种植规模和机械化程度，进行全面布局。同一小区内地形、土壤和光照等气候条件基本一致，小区面积一般控制在</w:t>
      </w:r>
      <w:r>
        <w:rPr>
          <w:rFonts w:hint="eastAsia" w:ascii="宋体" w:hAnsi="宋体" w:cs="宋体"/>
          <w:szCs w:val="21"/>
        </w:rPr>
        <w:t>1</w:t>
      </w:r>
      <w:r>
        <w:rPr>
          <w:rFonts w:ascii="宋体" w:hAnsi="宋体" w:cs="宋体"/>
          <w:szCs w:val="21"/>
        </w:rPr>
        <w:t>0亩～</w:t>
      </w:r>
      <w:r>
        <w:rPr>
          <w:rFonts w:hint="eastAsia" w:ascii="宋体" w:hAnsi="宋体" w:cs="宋体"/>
          <w:szCs w:val="21"/>
        </w:rPr>
        <w:t>3</w:t>
      </w:r>
      <w:r>
        <w:rPr>
          <w:rFonts w:ascii="宋体" w:hAnsi="宋体" w:cs="宋体"/>
          <w:szCs w:val="21"/>
        </w:rPr>
        <w:t>0亩。</w:t>
      </w:r>
    </w:p>
    <w:p>
      <w:pPr>
        <w:pStyle w:val="71"/>
        <w:spacing w:before="156" w:after="156"/>
        <w:rPr>
          <w:rFonts w:ascii="Calibri" w:hAnsi="Calibri"/>
        </w:rPr>
      </w:pPr>
      <w:r>
        <w:rPr>
          <w:rFonts w:ascii="Calibri" w:hAnsi="Calibri"/>
        </w:rPr>
        <w:t>道路建设</w:t>
      </w:r>
    </w:p>
    <w:p>
      <w:pPr>
        <w:ind w:firstLine="420" w:firstLineChars="200"/>
        <w:rPr>
          <w:rFonts w:ascii="宋体" w:hAnsi="宋体" w:cs="宋体"/>
          <w:szCs w:val="21"/>
        </w:rPr>
      </w:pPr>
      <w:r>
        <w:rPr>
          <w:rFonts w:ascii="宋体" w:hAnsi="宋体" w:cs="宋体"/>
          <w:szCs w:val="21"/>
        </w:rPr>
        <w:t>根据园区规模、产量和运输工具条件设计，分为主干路、支路和小路三级。主干路环山或之字形贯穿全园，宽</w:t>
      </w:r>
      <w:r>
        <w:rPr>
          <w:rFonts w:hint="eastAsia" w:ascii="宋体" w:hAnsi="宋体" w:eastAsia="宋体" w:cs="Times New Roman"/>
          <w:color w:val="auto"/>
          <w:spacing w:val="60"/>
          <w:kern w:val="24"/>
          <w:sz w:val="21"/>
          <w:szCs w:val="20"/>
          <w:lang w:val="en-US" w:eastAsia="zh-CN" w:bidi="ar-SA"/>
        </w:rPr>
        <w:t>2</w:t>
      </w:r>
      <w:r>
        <w:rPr>
          <w:rFonts w:ascii="宋体" w:hAnsi="宋体" w:cs="宋体"/>
          <w:szCs w:val="21"/>
        </w:rPr>
        <w:t>m～</w:t>
      </w:r>
      <w:r>
        <w:rPr>
          <w:rFonts w:hint="eastAsia" w:ascii="宋体" w:hAnsi="宋体" w:eastAsia="宋体" w:cs="Times New Roman"/>
          <w:color w:val="auto"/>
          <w:spacing w:val="60"/>
          <w:kern w:val="24"/>
          <w:sz w:val="21"/>
          <w:szCs w:val="20"/>
          <w:lang w:val="en-US" w:eastAsia="zh-CN" w:bidi="ar-SA"/>
        </w:rPr>
        <w:t>3</w:t>
      </w:r>
      <w:r>
        <w:rPr>
          <w:rFonts w:ascii="宋体" w:hAnsi="宋体" w:cs="宋体"/>
          <w:szCs w:val="21"/>
        </w:rPr>
        <w:t>m，降比0.</w:t>
      </w:r>
      <w:r>
        <w:rPr>
          <w:rFonts w:hint="eastAsia" w:ascii="宋体" w:hAnsi="宋体" w:eastAsia="宋体" w:cs="Times New Roman"/>
          <w:color w:val="auto"/>
          <w:spacing w:val="60"/>
          <w:kern w:val="24"/>
          <w:sz w:val="21"/>
          <w:szCs w:val="20"/>
          <w:lang w:val="en-US" w:eastAsia="zh-CN" w:bidi="ar-SA"/>
        </w:rPr>
        <w:t>5</w:t>
      </w:r>
      <w:r>
        <w:rPr>
          <w:rFonts w:ascii="宋体" w:hAnsi="宋体" w:cs="宋体"/>
          <w:szCs w:val="21"/>
        </w:rPr>
        <w:t>％～0.</w:t>
      </w:r>
      <w:r>
        <w:rPr>
          <w:rFonts w:hint="eastAsia" w:ascii="宋体" w:hAnsi="宋体" w:eastAsia="宋体" w:cs="Times New Roman"/>
          <w:color w:val="auto"/>
          <w:spacing w:val="60"/>
          <w:kern w:val="24"/>
          <w:sz w:val="21"/>
          <w:szCs w:val="20"/>
          <w:lang w:val="en-US" w:eastAsia="zh-CN" w:bidi="ar-SA"/>
        </w:rPr>
        <w:t>9</w:t>
      </w:r>
      <w:r>
        <w:rPr>
          <w:rFonts w:ascii="宋体" w:hAnsi="宋体" w:cs="宋体"/>
          <w:szCs w:val="21"/>
        </w:rPr>
        <w:t>％；支路连接主干道，间距5</w:t>
      </w:r>
      <w:r>
        <w:rPr>
          <w:rFonts w:hint="eastAsia" w:ascii="宋体" w:hAnsi="宋体" w:eastAsia="宋体" w:cs="Times New Roman"/>
          <w:color w:val="auto"/>
          <w:spacing w:val="60"/>
          <w:kern w:val="24"/>
          <w:sz w:val="21"/>
          <w:szCs w:val="20"/>
          <w:lang w:val="en-US" w:eastAsia="zh-CN" w:bidi="ar-SA"/>
        </w:rPr>
        <w:t>0</w:t>
      </w:r>
      <w:r>
        <w:rPr>
          <w:rFonts w:ascii="宋体" w:hAnsi="宋体" w:cs="宋体"/>
          <w:szCs w:val="21"/>
        </w:rPr>
        <w:t>m，宽</w:t>
      </w:r>
      <w:r>
        <w:rPr>
          <w:rFonts w:hint="eastAsia" w:ascii="宋体" w:hAnsi="宋体" w:eastAsia="宋体" w:cs="Times New Roman"/>
          <w:color w:val="auto"/>
          <w:spacing w:val="60"/>
          <w:kern w:val="24"/>
          <w:sz w:val="21"/>
          <w:szCs w:val="20"/>
          <w:lang w:val="en-US" w:eastAsia="zh-CN" w:bidi="ar-SA"/>
        </w:rPr>
        <w:t>2</w:t>
      </w:r>
      <w:r>
        <w:rPr>
          <w:rFonts w:ascii="宋体" w:hAnsi="宋体" w:cs="宋体"/>
          <w:szCs w:val="21"/>
        </w:rPr>
        <w:t>m～</w:t>
      </w:r>
      <w:r>
        <w:rPr>
          <w:rFonts w:hint="eastAsia" w:ascii="宋体" w:hAnsi="宋体" w:eastAsia="宋体" w:cs="Times New Roman"/>
          <w:color w:val="auto"/>
          <w:spacing w:val="60"/>
          <w:kern w:val="24"/>
          <w:sz w:val="21"/>
          <w:szCs w:val="20"/>
          <w:lang w:val="en-US" w:eastAsia="zh-CN" w:bidi="ar-SA"/>
        </w:rPr>
        <w:t>4</w:t>
      </w:r>
      <w:r>
        <w:rPr>
          <w:rFonts w:ascii="宋体" w:hAnsi="宋体" w:cs="宋体"/>
          <w:szCs w:val="21"/>
        </w:rPr>
        <w:t>m。沿</w:t>
      </w:r>
      <w:r>
        <w:rPr>
          <w:rFonts w:hint="eastAsia" w:ascii="宋体" w:hAnsi="宋体" w:cs="宋体"/>
          <w:szCs w:val="21"/>
        </w:rPr>
        <w:t>主路或支路</w:t>
      </w:r>
      <w:r>
        <w:rPr>
          <w:rFonts w:ascii="宋体" w:hAnsi="宋体" w:cs="宋体"/>
          <w:szCs w:val="21"/>
        </w:rPr>
        <w:t>内测设排水沟。</w:t>
      </w:r>
    </w:p>
    <w:p>
      <w:pPr>
        <w:pStyle w:val="71"/>
        <w:spacing w:before="156" w:after="156"/>
        <w:rPr>
          <w:rFonts w:ascii="Calibri" w:hAnsi="Calibri"/>
        </w:rPr>
      </w:pPr>
      <w:r>
        <w:rPr>
          <w:rFonts w:ascii="Calibri" w:hAnsi="Calibri"/>
        </w:rPr>
        <w:t>排灌系统建设</w:t>
      </w:r>
    </w:p>
    <w:p>
      <w:pPr>
        <w:ind w:firstLine="420" w:firstLineChars="200"/>
        <w:rPr>
          <w:rFonts w:ascii="宋体" w:hAnsi="宋体" w:cs="宋体"/>
          <w:szCs w:val="21"/>
        </w:rPr>
      </w:pPr>
      <w:r>
        <w:rPr>
          <w:rFonts w:ascii="宋体" w:hAnsi="宋体" w:cs="宋体"/>
          <w:szCs w:val="21"/>
        </w:rPr>
        <w:t>雨水集蓄利用按照GB/T 50596规定执行；</w:t>
      </w:r>
      <w:r>
        <w:rPr>
          <w:rFonts w:hint="eastAsia" w:ascii="宋体" w:hAnsi="宋体" w:cs="宋体"/>
          <w:szCs w:val="21"/>
        </w:rPr>
        <w:t>小管出流、</w:t>
      </w:r>
      <w:r>
        <w:rPr>
          <w:rFonts w:ascii="宋体" w:hAnsi="宋体" w:cs="宋体"/>
          <w:szCs w:val="21"/>
        </w:rPr>
        <w:t>滴灌微灌工程按照GB/T 50485规定执行。</w:t>
      </w:r>
    </w:p>
    <w:p>
      <w:pPr>
        <w:pStyle w:val="67"/>
        <w:spacing w:before="156" w:after="156"/>
      </w:pPr>
      <w:r>
        <w:t>整地</w:t>
      </w:r>
    </w:p>
    <w:p>
      <w:pPr>
        <w:pStyle w:val="71"/>
        <w:spacing w:before="156" w:after="156"/>
        <w:rPr>
          <w:rFonts w:ascii="Calibri" w:hAnsi="Calibri"/>
        </w:rPr>
      </w:pPr>
      <w:r>
        <w:rPr>
          <w:rFonts w:ascii="Calibri" w:hAnsi="Calibri"/>
        </w:rPr>
        <w:t>修筑梯田</w:t>
      </w:r>
    </w:p>
    <w:p>
      <w:pPr>
        <w:pStyle w:val="32"/>
        <w:rPr>
          <w:rFonts w:hAnsi="宋体" w:cs="宋体"/>
          <w:kern w:val="2"/>
          <w:szCs w:val="21"/>
        </w:rPr>
      </w:pPr>
      <w:r>
        <w:rPr>
          <w:rFonts w:hAnsi="宋体" w:cs="宋体"/>
          <w:kern w:val="2"/>
          <w:szCs w:val="21"/>
        </w:rPr>
        <w:t>沿等高线方向修筑反坡梯田，梯田面宽度根据坡度、</w:t>
      </w:r>
      <w:r>
        <w:rPr>
          <w:rFonts w:hint="eastAsia" w:hAnsi="宋体" w:cs="宋体"/>
          <w:kern w:val="2"/>
          <w:szCs w:val="21"/>
        </w:rPr>
        <w:t>土壤厚度</w:t>
      </w:r>
      <w:r>
        <w:rPr>
          <w:rFonts w:hAnsi="宋体" w:cs="宋体"/>
          <w:kern w:val="2"/>
          <w:szCs w:val="21"/>
        </w:rPr>
        <w:t>等园地立地条件</w:t>
      </w:r>
      <w:r>
        <w:rPr>
          <w:rFonts w:hint="eastAsia" w:hAnsi="宋体" w:cs="宋体"/>
          <w:kern w:val="2"/>
          <w:szCs w:val="21"/>
        </w:rPr>
        <w:t>因素</w:t>
      </w:r>
      <w:r>
        <w:rPr>
          <w:rFonts w:hAnsi="宋体" w:cs="宋体"/>
          <w:kern w:val="2"/>
          <w:szCs w:val="21"/>
        </w:rPr>
        <w:t>确定，一般以2.</w:t>
      </w:r>
      <w:r>
        <w:rPr>
          <w:rFonts w:hint="eastAsia" w:hAnsi="宋体" w:eastAsia="宋体" w:cs="Times New Roman"/>
          <w:color w:val="auto"/>
          <w:spacing w:val="60"/>
          <w:kern w:val="24"/>
        </w:rPr>
        <w:t>5</w:t>
      </w:r>
      <w:r>
        <w:rPr>
          <w:rFonts w:hAnsi="宋体" w:cs="宋体"/>
          <w:kern w:val="2"/>
          <w:szCs w:val="21"/>
        </w:rPr>
        <w:t>m～6.</w:t>
      </w:r>
      <w:r>
        <w:rPr>
          <w:rFonts w:hint="eastAsia" w:hAnsi="宋体" w:eastAsia="宋体" w:cs="Times New Roman"/>
          <w:color w:val="auto"/>
          <w:spacing w:val="60"/>
          <w:kern w:val="24"/>
        </w:rPr>
        <w:t>0</w:t>
      </w:r>
      <w:r>
        <w:rPr>
          <w:rFonts w:hAnsi="宋体" w:cs="宋体"/>
          <w:kern w:val="2"/>
          <w:szCs w:val="21"/>
        </w:rPr>
        <w:t>m为宜，反坡坡度</w:t>
      </w:r>
      <w:r>
        <w:rPr>
          <w:rFonts w:hint="eastAsia" w:hAnsi="宋体" w:eastAsia="宋体" w:cs="Times New Roman"/>
          <w:color w:val="auto"/>
          <w:spacing w:val="60"/>
          <w:kern w:val="24"/>
        </w:rPr>
        <w:t>3</w:t>
      </w:r>
      <w:r>
        <w:rPr>
          <w:rFonts w:hAnsi="宋体" w:cs="宋体"/>
          <w:kern w:val="2"/>
          <w:szCs w:val="21"/>
        </w:rPr>
        <w:t>°～</w:t>
      </w:r>
      <w:r>
        <w:rPr>
          <w:rFonts w:hint="eastAsia" w:hAnsi="宋体" w:eastAsia="宋体" w:cs="Times New Roman"/>
          <w:color w:val="auto"/>
          <w:spacing w:val="60"/>
          <w:kern w:val="24"/>
        </w:rPr>
        <w:t>5</w:t>
      </w:r>
      <w:r>
        <w:rPr>
          <w:rFonts w:hAnsi="宋体" w:cs="宋体"/>
          <w:kern w:val="2"/>
          <w:szCs w:val="21"/>
        </w:rPr>
        <w:t>°，深翻</w:t>
      </w:r>
      <w:r>
        <w:rPr>
          <w:rFonts w:hint="eastAsia" w:hAnsi="宋体" w:cs="宋体"/>
          <w:kern w:val="2"/>
          <w:szCs w:val="21"/>
          <w:lang w:val="en-US" w:eastAsia="zh-CN"/>
        </w:rPr>
        <w:t xml:space="preserve"> </w:t>
      </w:r>
      <w:r>
        <w:rPr>
          <w:rFonts w:hAnsi="宋体" w:cs="宋体"/>
          <w:kern w:val="2"/>
          <w:szCs w:val="21"/>
        </w:rPr>
        <w:t>3</w:t>
      </w:r>
      <w:r>
        <w:rPr>
          <w:rFonts w:hint="eastAsia" w:hAnsi="宋体" w:eastAsia="宋体" w:cs="Times New Roman"/>
          <w:color w:val="auto"/>
          <w:spacing w:val="60"/>
          <w:kern w:val="24"/>
        </w:rPr>
        <w:t>0</w:t>
      </w:r>
      <w:r>
        <w:rPr>
          <w:rFonts w:hAnsi="宋体" w:cs="宋体"/>
          <w:kern w:val="2"/>
          <w:szCs w:val="21"/>
        </w:rPr>
        <w:t>cm以上，清除杂物。</w:t>
      </w:r>
    </w:p>
    <w:p>
      <w:pPr>
        <w:pStyle w:val="71"/>
        <w:spacing w:before="156" w:after="156"/>
        <w:rPr>
          <w:rFonts w:ascii="Calibri" w:hAnsi="Calibri"/>
        </w:rPr>
      </w:pPr>
      <w:r>
        <w:rPr>
          <w:rFonts w:ascii="Calibri" w:hAnsi="Calibri"/>
        </w:rPr>
        <w:t>挖定植沟</w:t>
      </w:r>
    </w:p>
    <w:p>
      <w:pPr>
        <w:pStyle w:val="32"/>
        <w:rPr>
          <w:rFonts w:hAnsi="宋体" w:cs="宋体"/>
          <w:kern w:val="2"/>
          <w:szCs w:val="21"/>
        </w:rPr>
      </w:pPr>
      <w:r>
        <w:rPr>
          <w:rFonts w:hAnsi="宋体" w:cs="宋体"/>
          <w:kern w:val="2"/>
          <w:szCs w:val="21"/>
        </w:rPr>
        <w:t>距梯田面外缘1/3～1/2处开挖定植沟</w:t>
      </w:r>
      <w:r>
        <w:rPr>
          <w:rFonts w:hint="eastAsia" w:hAnsi="宋体" w:cs="宋体"/>
          <w:kern w:val="2"/>
          <w:szCs w:val="21"/>
        </w:rPr>
        <w:t>，</w:t>
      </w:r>
      <w:r>
        <w:rPr>
          <w:rFonts w:hAnsi="宋体" w:cs="宋体"/>
          <w:kern w:val="2"/>
          <w:szCs w:val="21"/>
        </w:rPr>
        <w:t>深</w:t>
      </w:r>
      <w:r>
        <w:rPr>
          <w:rFonts w:hint="eastAsia" w:hAnsi="宋体" w:cs="宋体"/>
          <w:kern w:val="2"/>
          <w:szCs w:val="21"/>
          <w:lang w:val="en-US" w:eastAsia="zh-CN"/>
        </w:rPr>
        <w:t xml:space="preserve"> </w:t>
      </w:r>
      <w:r>
        <w:rPr>
          <w:rFonts w:hAnsi="宋体" w:cs="宋体"/>
          <w:kern w:val="2"/>
          <w:szCs w:val="21"/>
        </w:rPr>
        <w:t>6</w:t>
      </w:r>
      <w:r>
        <w:rPr>
          <w:rFonts w:hint="eastAsia" w:hAnsi="宋体" w:eastAsia="宋体" w:cs="Times New Roman"/>
          <w:color w:val="auto"/>
          <w:spacing w:val="60"/>
          <w:kern w:val="24"/>
        </w:rPr>
        <w:t>0</w:t>
      </w:r>
      <w:r>
        <w:rPr>
          <w:rFonts w:hAnsi="宋体" w:cs="宋体"/>
          <w:kern w:val="2"/>
          <w:szCs w:val="21"/>
        </w:rPr>
        <w:t>cm</w:t>
      </w:r>
      <w:r>
        <w:rPr>
          <w:rFonts w:hint="eastAsia" w:hAnsi="宋体" w:cs="宋体"/>
          <w:kern w:val="2"/>
          <w:szCs w:val="21"/>
        </w:rPr>
        <w:t>，</w:t>
      </w:r>
      <w:r>
        <w:rPr>
          <w:rFonts w:hAnsi="宋体" w:cs="宋体"/>
          <w:kern w:val="2"/>
          <w:szCs w:val="21"/>
        </w:rPr>
        <w:t>宽 8</w:t>
      </w:r>
      <w:r>
        <w:rPr>
          <w:rFonts w:hint="eastAsia" w:hAnsi="宋体" w:eastAsia="宋体" w:cs="Times New Roman"/>
          <w:color w:val="auto"/>
          <w:spacing w:val="60"/>
          <w:kern w:val="24"/>
        </w:rPr>
        <w:t>0</w:t>
      </w:r>
      <w:r>
        <w:rPr>
          <w:rFonts w:hAnsi="宋体" w:cs="宋体"/>
          <w:kern w:val="2"/>
          <w:szCs w:val="21"/>
        </w:rPr>
        <w:t>cm。开沟时底土和表土分别放置；将切碎的作物秸秆填入沟底，厚度1</w:t>
      </w:r>
      <w:r>
        <w:rPr>
          <w:rFonts w:hint="eastAsia" w:hAnsi="宋体" w:eastAsia="宋体" w:cs="Times New Roman"/>
          <w:color w:val="auto"/>
          <w:spacing w:val="60"/>
          <w:kern w:val="24"/>
        </w:rPr>
        <w:t>5</w:t>
      </w:r>
      <w:r>
        <w:rPr>
          <w:rFonts w:hAnsi="宋体" w:cs="宋体"/>
          <w:kern w:val="2"/>
          <w:szCs w:val="21"/>
        </w:rPr>
        <w:t>cm～2</w:t>
      </w:r>
      <w:r>
        <w:rPr>
          <w:rFonts w:hint="eastAsia" w:hAnsi="宋体" w:eastAsia="宋体" w:cs="Times New Roman"/>
          <w:color w:val="auto"/>
          <w:spacing w:val="60"/>
          <w:kern w:val="24"/>
        </w:rPr>
        <w:t>0</w:t>
      </w:r>
      <w:r>
        <w:rPr>
          <w:rFonts w:hAnsi="宋体" w:cs="宋体"/>
          <w:kern w:val="2"/>
          <w:szCs w:val="21"/>
        </w:rPr>
        <w:t>cm，</w:t>
      </w:r>
      <w:r>
        <w:rPr>
          <w:rFonts w:hint="eastAsia" w:hAnsi="宋体" w:cs="宋体"/>
          <w:kern w:val="2"/>
          <w:szCs w:val="21"/>
        </w:rPr>
        <w:t>每100</w:t>
      </w:r>
      <w:r>
        <w:rPr>
          <w:rFonts w:hint="eastAsia" w:hAnsi="宋体" w:eastAsia="宋体" w:cs="Times New Roman"/>
          <w:color w:val="auto"/>
          <w:spacing w:val="60"/>
          <w:kern w:val="24"/>
        </w:rPr>
        <w:t>0</w:t>
      </w:r>
      <w:r>
        <w:rPr>
          <w:rFonts w:hint="eastAsia" w:hAnsi="宋体" w:cs="宋体"/>
          <w:kern w:val="2"/>
          <w:szCs w:val="21"/>
        </w:rPr>
        <w:t>kg</w:t>
      </w:r>
      <w:r>
        <w:rPr>
          <w:rFonts w:hAnsi="宋体" w:cs="宋体"/>
          <w:kern w:val="2"/>
          <w:szCs w:val="21"/>
        </w:rPr>
        <w:t>秸秆</w:t>
      </w:r>
      <w:r>
        <w:rPr>
          <w:rFonts w:hint="eastAsia" w:hAnsi="宋体" w:cs="宋体"/>
          <w:kern w:val="2"/>
          <w:szCs w:val="21"/>
        </w:rPr>
        <w:t>使用</w:t>
      </w:r>
      <w:r>
        <w:rPr>
          <w:rFonts w:hAnsi="宋体" w:cs="宋体"/>
          <w:kern w:val="2"/>
          <w:szCs w:val="21"/>
        </w:rPr>
        <w:t>秸秆腐熟剂</w:t>
      </w:r>
      <w:r>
        <w:rPr>
          <w:rFonts w:hint="eastAsia" w:hAnsi="宋体" w:cs="宋体"/>
          <w:kern w:val="2"/>
          <w:szCs w:val="21"/>
        </w:rPr>
        <w:t>（腐杆灵）3.</w:t>
      </w:r>
      <w:r>
        <w:rPr>
          <w:rFonts w:hint="eastAsia" w:hAnsi="宋体" w:eastAsia="宋体" w:cs="Times New Roman"/>
          <w:color w:val="auto"/>
          <w:spacing w:val="60"/>
          <w:kern w:val="24"/>
        </w:rPr>
        <w:t>0</w:t>
      </w:r>
      <w:r>
        <w:rPr>
          <w:rFonts w:hint="eastAsia" w:hAnsi="宋体" w:cs="宋体"/>
          <w:kern w:val="2"/>
          <w:szCs w:val="21"/>
        </w:rPr>
        <w:t>kg</w:t>
      </w:r>
      <w:r>
        <w:rPr>
          <w:rFonts w:hAnsi="宋体" w:cs="宋体"/>
          <w:kern w:val="2"/>
          <w:szCs w:val="21"/>
        </w:rPr>
        <w:t xml:space="preserve"> ～</w:t>
      </w:r>
      <w:r>
        <w:rPr>
          <w:rFonts w:hint="eastAsia" w:hAnsi="宋体" w:cs="宋体"/>
          <w:kern w:val="2"/>
          <w:szCs w:val="21"/>
        </w:rPr>
        <w:t>4.</w:t>
      </w:r>
      <w:r>
        <w:rPr>
          <w:rFonts w:hint="eastAsia" w:hAnsi="宋体" w:eastAsia="宋体" w:cs="Times New Roman"/>
          <w:color w:val="auto"/>
          <w:spacing w:val="60"/>
          <w:kern w:val="24"/>
        </w:rPr>
        <w:t>0</w:t>
      </w:r>
      <w:r>
        <w:rPr>
          <w:rFonts w:hint="eastAsia" w:hAnsi="宋体" w:cs="宋体"/>
          <w:kern w:val="2"/>
          <w:szCs w:val="21"/>
        </w:rPr>
        <w:t>kg兑水10倍喷洒</w:t>
      </w:r>
      <w:r>
        <w:rPr>
          <w:rFonts w:hAnsi="宋体" w:cs="宋体"/>
          <w:kern w:val="2"/>
          <w:szCs w:val="21"/>
        </w:rPr>
        <w:t>；将腐熟的农家肥每亩 5.</w:t>
      </w:r>
      <w:r>
        <w:rPr>
          <w:rFonts w:hint="eastAsia" w:hAnsi="宋体" w:eastAsia="宋体" w:cs="Times New Roman"/>
          <w:color w:val="auto"/>
          <w:spacing w:val="60"/>
          <w:kern w:val="24"/>
        </w:rPr>
        <w:t>0</w:t>
      </w:r>
      <w:r>
        <w:rPr>
          <w:rFonts w:hAnsi="宋体" w:cs="宋体"/>
          <w:kern w:val="2"/>
          <w:szCs w:val="21"/>
        </w:rPr>
        <w:t>m</w:t>
      </w:r>
      <w:r>
        <w:rPr>
          <w:rFonts w:hAnsi="宋体" w:cs="宋体"/>
          <w:kern w:val="2"/>
          <w:szCs w:val="21"/>
          <w:vertAlign w:val="superscript"/>
        </w:rPr>
        <w:t>3</w:t>
      </w:r>
      <w:r>
        <w:rPr>
          <w:rFonts w:hAnsi="宋体" w:cs="宋体"/>
          <w:kern w:val="2"/>
          <w:szCs w:val="21"/>
        </w:rPr>
        <w:t>～8.</w:t>
      </w:r>
      <w:r>
        <w:rPr>
          <w:rFonts w:hint="eastAsia" w:hAnsi="宋体" w:eastAsia="宋体" w:cs="Times New Roman"/>
          <w:color w:val="auto"/>
          <w:spacing w:val="60"/>
          <w:kern w:val="24"/>
        </w:rPr>
        <w:t>0</w:t>
      </w:r>
      <w:r>
        <w:rPr>
          <w:rFonts w:hAnsi="宋体" w:cs="宋体"/>
          <w:kern w:val="2"/>
          <w:szCs w:val="21"/>
        </w:rPr>
        <w:t>m</w:t>
      </w:r>
      <w:r>
        <w:rPr>
          <w:rFonts w:hAnsi="宋体" w:cs="宋体"/>
          <w:kern w:val="2"/>
          <w:szCs w:val="21"/>
          <w:vertAlign w:val="superscript"/>
        </w:rPr>
        <w:t>3</w:t>
      </w:r>
      <w:r>
        <w:rPr>
          <w:rFonts w:hAnsi="宋体" w:cs="宋体"/>
          <w:kern w:val="2"/>
          <w:szCs w:val="21"/>
        </w:rPr>
        <w:t>，与表土混匀后填入沟内，随填随踩直至与地面持平，浇透水沉实。肥料使用符合</w:t>
      </w:r>
      <w:r>
        <w:rPr>
          <w:rFonts w:hint="eastAsia" w:hAnsi="宋体" w:cs="宋体"/>
          <w:kern w:val="2"/>
          <w:szCs w:val="21"/>
          <w:lang w:val="en-US" w:eastAsia="zh-CN"/>
        </w:rPr>
        <w:t xml:space="preserve"> </w:t>
      </w:r>
      <w:r>
        <w:rPr>
          <w:rFonts w:hAnsi="宋体" w:cs="宋体"/>
          <w:kern w:val="2"/>
          <w:szCs w:val="21"/>
        </w:rPr>
        <w:t>NY/T 394</w:t>
      </w:r>
      <w:r>
        <w:rPr>
          <w:rFonts w:hint="eastAsia" w:hAnsi="宋体" w:cs="宋体"/>
          <w:kern w:val="2"/>
          <w:szCs w:val="21"/>
          <w:lang w:val="en-US" w:eastAsia="zh-CN"/>
        </w:rPr>
        <w:t xml:space="preserve"> </w:t>
      </w:r>
      <w:r>
        <w:rPr>
          <w:rFonts w:hAnsi="宋体" w:cs="宋体"/>
          <w:kern w:val="2"/>
          <w:szCs w:val="21"/>
        </w:rPr>
        <w:t>的规定。</w:t>
      </w:r>
    </w:p>
    <w:p>
      <w:pPr>
        <w:pStyle w:val="67"/>
        <w:spacing w:before="156" w:after="156"/>
      </w:pPr>
      <w:r>
        <w:t>定植</w:t>
      </w:r>
    </w:p>
    <w:p>
      <w:pPr>
        <w:pStyle w:val="71"/>
        <w:spacing w:before="156" w:after="156"/>
        <w:rPr>
          <w:rFonts w:ascii="Calibri" w:hAnsi="Calibri"/>
        </w:rPr>
      </w:pPr>
      <w:r>
        <w:rPr>
          <w:rFonts w:ascii="Calibri" w:hAnsi="Calibri"/>
        </w:rPr>
        <w:t>品种选择</w:t>
      </w:r>
    </w:p>
    <w:p>
      <w:pPr>
        <w:ind w:firstLine="420" w:firstLineChars="200"/>
        <w:rPr>
          <w:rFonts w:ascii="宋体" w:hAnsi="宋体" w:cs="宋体"/>
          <w:szCs w:val="21"/>
        </w:rPr>
      </w:pPr>
      <w:r>
        <w:rPr>
          <w:rFonts w:ascii="宋体" w:hAnsi="宋体" w:cs="宋体"/>
          <w:szCs w:val="21"/>
        </w:rPr>
        <w:t>选择以抗寒砧木嫁接的耐旱、抗病虫害能力强、果实品质好、耐贮运的矮化品种；早中晚熟品种合理搭配。</w:t>
      </w:r>
    </w:p>
    <w:p>
      <w:pPr>
        <w:pStyle w:val="71"/>
        <w:spacing w:before="156" w:after="156"/>
        <w:rPr>
          <w:rFonts w:ascii="Calibri" w:hAnsi="Calibri"/>
        </w:rPr>
      </w:pPr>
      <w:r>
        <w:rPr>
          <w:rFonts w:ascii="Calibri" w:hAnsi="Calibri"/>
        </w:rPr>
        <w:t>授粉树配置</w:t>
      </w:r>
    </w:p>
    <w:p>
      <w:pPr>
        <w:ind w:firstLine="420" w:firstLineChars="200"/>
        <w:rPr>
          <w:rFonts w:ascii="宋体" w:hAnsi="宋体" w:cs="宋体"/>
          <w:szCs w:val="21"/>
        </w:rPr>
      </w:pPr>
      <w:r>
        <w:rPr>
          <w:rFonts w:hint="eastAsia" w:ascii="宋体" w:hAnsi="宋体" w:cs="宋体"/>
          <w:szCs w:val="21"/>
        </w:rPr>
        <w:t>花粉不稔或无花粉的品种需要配置授粉树。</w:t>
      </w:r>
      <w:r>
        <w:rPr>
          <w:rFonts w:ascii="宋体" w:hAnsi="宋体" w:cs="宋体"/>
          <w:szCs w:val="21"/>
        </w:rPr>
        <w:t>选用与主栽品种花期相近、</w:t>
      </w:r>
      <w:r>
        <w:rPr>
          <w:rFonts w:hint="eastAsia" w:ascii="宋体" w:hAnsi="宋体" w:cs="宋体"/>
          <w:szCs w:val="21"/>
        </w:rPr>
        <w:t>花粉量大</w:t>
      </w:r>
      <w:r>
        <w:rPr>
          <w:rFonts w:ascii="宋体" w:hAnsi="宋体" w:cs="宋体"/>
          <w:szCs w:val="21"/>
        </w:rPr>
        <w:t>的品种，配置比例为</w:t>
      </w:r>
      <w:r>
        <w:rPr>
          <w:rFonts w:hint="eastAsia" w:ascii="宋体" w:hAnsi="宋体" w:cs="宋体"/>
          <w:szCs w:val="21"/>
        </w:rPr>
        <w:t>2：1。</w:t>
      </w:r>
    </w:p>
    <w:p>
      <w:pPr>
        <w:pStyle w:val="71"/>
        <w:spacing w:before="156" w:after="156"/>
        <w:rPr>
          <w:rFonts w:ascii="Calibri" w:hAnsi="Calibri"/>
        </w:rPr>
      </w:pPr>
      <w:r>
        <w:rPr>
          <w:rFonts w:ascii="Calibri" w:hAnsi="Calibri"/>
        </w:rPr>
        <w:t>苗木规格</w:t>
      </w:r>
    </w:p>
    <w:p>
      <w:pPr>
        <w:ind w:firstLine="420" w:firstLineChars="200"/>
        <w:rPr>
          <w:rFonts w:ascii="宋体" w:hAnsi="宋体" w:cs="宋体"/>
          <w:szCs w:val="21"/>
        </w:rPr>
      </w:pPr>
      <w:r>
        <w:rPr>
          <w:rFonts w:ascii="宋体" w:hAnsi="宋体" w:cs="宋体"/>
          <w:szCs w:val="21"/>
        </w:rPr>
        <w:t>按照GB/19175-2010</w:t>
      </w:r>
      <w:r>
        <w:rPr>
          <w:rFonts w:hint="eastAsia" w:ascii="宋体" w:hAnsi="宋体" w:cs="宋体"/>
          <w:szCs w:val="21"/>
          <w:lang w:val="en-US" w:eastAsia="zh-CN"/>
        </w:rPr>
        <w:t xml:space="preserve"> 中</w:t>
      </w:r>
      <w:r>
        <w:rPr>
          <w:rFonts w:ascii="宋体" w:hAnsi="宋体" w:cs="宋体"/>
          <w:szCs w:val="21"/>
        </w:rPr>
        <w:t xml:space="preserve"> 4.1.2的规定执行。</w:t>
      </w:r>
    </w:p>
    <w:p>
      <w:pPr>
        <w:pStyle w:val="71"/>
        <w:spacing w:before="156" w:after="156"/>
        <w:rPr>
          <w:rFonts w:ascii="Calibri" w:hAnsi="Calibri"/>
        </w:rPr>
      </w:pPr>
      <w:r>
        <w:rPr>
          <w:rFonts w:ascii="Calibri" w:hAnsi="Calibri"/>
        </w:rPr>
        <w:t>栽植时间</w:t>
      </w:r>
    </w:p>
    <w:p>
      <w:pPr>
        <w:pStyle w:val="32"/>
        <w:rPr>
          <w:rFonts w:hAnsi="宋体" w:cs="宋体"/>
          <w:kern w:val="2"/>
          <w:szCs w:val="21"/>
        </w:rPr>
      </w:pPr>
      <w:r>
        <w:rPr>
          <w:rFonts w:hAnsi="宋体" w:cs="宋体"/>
          <w:kern w:val="2"/>
          <w:szCs w:val="21"/>
        </w:rPr>
        <w:t>春季土壤解冻后至苗木萌芽前。</w:t>
      </w:r>
    </w:p>
    <w:p>
      <w:pPr>
        <w:pStyle w:val="71"/>
        <w:spacing w:before="156" w:after="156"/>
        <w:rPr>
          <w:rFonts w:ascii="Calibri" w:hAnsi="Calibri"/>
        </w:rPr>
      </w:pPr>
      <w:r>
        <w:rPr>
          <w:rFonts w:ascii="Calibri" w:hAnsi="Calibri"/>
        </w:rPr>
        <w:t>苗木处理</w:t>
      </w:r>
    </w:p>
    <w:p>
      <w:pPr>
        <w:pStyle w:val="32"/>
        <w:rPr>
          <w:rFonts w:hAnsi="宋体" w:cs="宋体"/>
          <w:kern w:val="2"/>
          <w:szCs w:val="21"/>
        </w:rPr>
      </w:pPr>
      <w:r>
        <w:rPr>
          <w:rFonts w:hAnsi="宋体" w:cs="宋体"/>
          <w:kern w:val="2"/>
          <w:szCs w:val="21"/>
        </w:rPr>
        <w:t>栽植前对根系进行修剪，然后用</w:t>
      </w:r>
      <w:r>
        <w:rPr>
          <w:rFonts w:hint="eastAsia" w:hAnsi="宋体" w:eastAsia="宋体" w:cs="Times New Roman"/>
          <w:color w:val="auto"/>
          <w:spacing w:val="60"/>
          <w:kern w:val="24"/>
        </w:rPr>
        <w:t>1</w:t>
      </w:r>
      <w:r>
        <w:rPr>
          <w:rFonts w:hAnsi="宋体" w:cs="宋体"/>
          <w:kern w:val="2"/>
          <w:szCs w:val="21"/>
        </w:rPr>
        <w:t>％硫酸铜溶液浸根</w:t>
      </w:r>
      <w:r>
        <w:rPr>
          <w:rFonts w:hint="eastAsia" w:hAnsi="宋体" w:eastAsia="宋体" w:cs="Times New Roman"/>
          <w:color w:val="auto"/>
          <w:spacing w:val="60"/>
          <w:kern w:val="24"/>
        </w:rPr>
        <w:t>5</w:t>
      </w:r>
      <w:r>
        <w:rPr>
          <w:rFonts w:hint="eastAsia" w:hAnsi="宋体" w:cs="宋体"/>
          <w:kern w:val="2"/>
          <w:szCs w:val="21"/>
        </w:rPr>
        <w:t>min</w:t>
      </w:r>
      <w:r>
        <w:rPr>
          <w:rFonts w:hAnsi="宋体" w:cs="宋体"/>
          <w:kern w:val="2"/>
          <w:szCs w:val="21"/>
        </w:rPr>
        <w:t>后再放到</w:t>
      </w:r>
      <w:r>
        <w:rPr>
          <w:rFonts w:hint="eastAsia" w:hAnsi="宋体" w:eastAsia="宋体" w:cs="Times New Roman"/>
          <w:color w:val="auto"/>
          <w:spacing w:val="60"/>
          <w:kern w:val="24"/>
        </w:rPr>
        <w:t>2</w:t>
      </w:r>
      <w:r>
        <w:rPr>
          <w:rFonts w:hint="eastAsia" w:hAnsi="宋体" w:cs="宋体"/>
          <w:kern w:val="2"/>
          <w:szCs w:val="21"/>
        </w:rPr>
        <w:t>％</w:t>
      </w:r>
      <w:r>
        <w:rPr>
          <w:rFonts w:hAnsi="宋体" w:cs="宋体"/>
          <w:kern w:val="2"/>
          <w:szCs w:val="21"/>
        </w:rPr>
        <w:t>的石灰液中浸根</w:t>
      </w:r>
      <w:r>
        <w:rPr>
          <w:rFonts w:hint="eastAsia" w:hAnsi="宋体" w:eastAsia="宋体" w:cs="Times New Roman"/>
          <w:color w:val="auto"/>
          <w:spacing w:val="60"/>
          <w:kern w:val="24"/>
        </w:rPr>
        <w:t>5</w:t>
      </w:r>
      <w:r>
        <w:rPr>
          <w:rFonts w:hint="eastAsia" w:hAnsi="宋体" w:cs="宋体"/>
          <w:kern w:val="2"/>
          <w:szCs w:val="21"/>
        </w:rPr>
        <w:t>min</w:t>
      </w:r>
      <w:r>
        <w:rPr>
          <w:rFonts w:hAnsi="宋体" w:cs="宋体"/>
          <w:kern w:val="2"/>
          <w:szCs w:val="21"/>
        </w:rPr>
        <w:t>进行消毒。</w:t>
      </w:r>
    </w:p>
    <w:p>
      <w:pPr>
        <w:pStyle w:val="71"/>
        <w:spacing w:before="156" w:after="156"/>
        <w:rPr>
          <w:rFonts w:ascii="Calibri" w:hAnsi="Calibri"/>
        </w:rPr>
      </w:pPr>
      <w:r>
        <w:rPr>
          <w:rFonts w:ascii="Calibri" w:hAnsi="Calibri"/>
        </w:rPr>
        <w:t>定植方法</w:t>
      </w:r>
    </w:p>
    <w:p>
      <w:pPr>
        <w:pStyle w:val="32"/>
        <w:rPr>
          <w:rFonts w:ascii="Calibri" w:hAnsi="Calibri"/>
          <w:kern w:val="2"/>
          <w:szCs w:val="24"/>
        </w:rPr>
      </w:pPr>
      <w:r>
        <w:rPr>
          <w:rFonts w:hAnsi="宋体" w:cs="宋体"/>
          <w:kern w:val="2"/>
          <w:szCs w:val="21"/>
        </w:rPr>
        <w:t>定植株距2.</w:t>
      </w:r>
      <w:r>
        <w:rPr>
          <w:rFonts w:hint="eastAsia" w:hAnsi="宋体" w:eastAsia="宋体" w:cs="Times New Roman"/>
          <w:color w:val="auto"/>
          <w:spacing w:val="60"/>
          <w:kern w:val="24"/>
        </w:rPr>
        <w:t>5</w:t>
      </w:r>
      <w:r>
        <w:rPr>
          <w:rFonts w:hint="eastAsia" w:hAnsi="宋体" w:cs="宋体"/>
          <w:kern w:val="2"/>
          <w:szCs w:val="21"/>
        </w:rPr>
        <w:t>m</w:t>
      </w:r>
      <w:r>
        <w:rPr>
          <w:rFonts w:hAnsi="宋体" w:cs="宋体"/>
          <w:kern w:val="2"/>
          <w:szCs w:val="21"/>
        </w:rPr>
        <w:t>～4.</w:t>
      </w:r>
      <w:r>
        <w:rPr>
          <w:rFonts w:hint="eastAsia" w:hAnsi="宋体" w:eastAsia="宋体" w:cs="Times New Roman"/>
          <w:color w:val="auto"/>
          <w:spacing w:val="60"/>
          <w:kern w:val="24"/>
        </w:rPr>
        <w:t>0</w:t>
      </w:r>
      <w:r>
        <w:rPr>
          <w:rFonts w:hAnsi="宋体" w:cs="宋体"/>
          <w:kern w:val="2"/>
          <w:szCs w:val="21"/>
        </w:rPr>
        <w:t>m，挖定植穴直径4</w:t>
      </w:r>
      <w:r>
        <w:rPr>
          <w:rFonts w:hint="eastAsia" w:hAnsi="宋体" w:eastAsia="宋体" w:cs="Times New Roman"/>
          <w:color w:val="auto"/>
          <w:spacing w:val="60"/>
          <w:kern w:val="24"/>
        </w:rPr>
        <w:t>0</w:t>
      </w:r>
      <w:r>
        <w:rPr>
          <w:rFonts w:hint="eastAsia" w:hAnsi="宋体" w:cs="宋体"/>
          <w:kern w:val="2"/>
          <w:szCs w:val="21"/>
        </w:rPr>
        <w:t>cm</w:t>
      </w:r>
      <w:r>
        <w:rPr>
          <w:rFonts w:hAnsi="宋体" w:cs="宋体"/>
          <w:kern w:val="2"/>
          <w:szCs w:val="21"/>
        </w:rPr>
        <w:t>，深3</w:t>
      </w:r>
      <w:r>
        <w:rPr>
          <w:rFonts w:hint="eastAsia" w:hAnsi="宋体" w:eastAsia="宋体" w:cs="Times New Roman"/>
          <w:color w:val="auto"/>
          <w:spacing w:val="60"/>
          <w:kern w:val="24"/>
        </w:rPr>
        <w:t>0</w:t>
      </w:r>
      <w:r>
        <w:rPr>
          <w:rFonts w:hint="eastAsia" w:hAnsi="宋体" w:cs="宋体"/>
          <w:kern w:val="2"/>
          <w:szCs w:val="21"/>
        </w:rPr>
        <w:t>cm，栽植时</w:t>
      </w:r>
      <w:r>
        <w:rPr>
          <w:rFonts w:hAnsi="宋体" w:cs="宋体"/>
          <w:kern w:val="2"/>
          <w:szCs w:val="21"/>
        </w:rPr>
        <w:t>保持</w:t>
      </w:r>
      <w:r>
        <w:rPr>
          <w:rFonts w:hint="eastAsia" w:hAnsi="宋体" w:cs="宋体"/>
          <w:kern w:val="2"/>
          <w:szCs w:val="21"/>
        </w:rPr>
        <w:t>苗木直立、</w:t>
      </w:r>
      <w:r>
        <w:rPr>
          <w:rFonts w:hAnsi="宋体" w:cs="宋体"/>
          <w:kern w:val="2"/>
          <w:szCs w:val="21"/>
        </w:rPr>
        <w:t>根系舒展</w:t>
      </w:r>
      <w:r>
        <w:rPr>
          <w:rFonts w:hint="eastAsia" w:hAnsi="宋体" w:cs="宋体"/>
          <w:kern w:val="2"/>
          <w:szCs w:val="21"/>
        </w:rPr>
        <w:t>、嫁接口朝向迎风面</w:t>
      </w:r>
      <w:r>
        <w:rPr>
          <w:rFonts w:hAnsi="宋体" w:cs="宋体"/>
          <w:kern w:val="2"/>
          <w:szCs w:val="21"/>
        </w:rPr>
        <w:t>，</w:t>
      </w:r>
      <w:r>
        <w:rPr>
          <w:rFonts w:hint="eastAsia" w:hAnsi="宋体" w:cs="宋体"/>
          <w:kern w:val="2"/>
          <w:szCs w:val="21"/>
        </w:rPr>
        <w:t>边覆土边轻提苗、</w:t>
      </w:r>
      <w:r>
        <w:rPr>
          <w:rFonts w:hAnsi="宋体" w:cs="宋体"/>
          <w:kern w:val="2"/>
          <w:szCs w:val="21"/>
        </w:rPr>
        <w:t>踏实</w:t>
      </w:r>
      <w:r>
        <w:rPr>
          <w:rFonts w:hint="eastAsia" w:hAnsi="宋体" w:cs="宋体"/>
          <w:kern w:val="2"/>
          <w:szCs w:val="21"/>
        </w:rPr>
        <w:t>，栽植深度保持苗木根茎原土印痕与地面持平；</w:t>
      </w:r>
      <w:r>
        <w:rPr>
          <w:rFonts w:hAnsi="宋体" w:cs="宋体"/>
          <w:kern w:val="2"/>
          <w:szCs w:val="21"/>
        </w:rPr>
        <w:t>浇透定根水后在树盆覆膜保墒</w:t>
      </w:r>
      <w:r>
        <w:rPr>
          <w:rFonts w:hint="eastAsia" w:hAnsi="宋体" w:cs="宋体"/>
          <w:kern w:val="2"/>
          <w:szCs w:val="21"/>
        </w:rPr>
        <w:t>；使用</w:t>
      </w:r>
      <w:r>
        <w:rPr>
          <w:rFonts w:hAnsi="宋体" w:cs="宋体"/>
          <w:kern w:val="2"/>
          <w:szCs w:val="21"/>
        </w:rPr>
        <w:t>苗木专用袋套袋</w:t>
      </w:r>
      <w:r>
        <w:rPr>
          <w:rFonts w:hint="eastAsia" w:hAnsi="宋体" w:cs="宋体"/>
          <w:kern w:val="2"/>
          <w:szCs w:val="21"/>
        </w:rPr>
        <w:t>，</w:t>
      </w:r>
      <w:r>
        <w:rPr>
          <w:rFonts w:hAnsi="宋体" w:cs="宋体"/>
          <w:kern w:val="2"/>
          <w:szCs w:val="21"/>
        </w:rPr>
        <w:t>待芽生长到</w:t>
      </w:r>
      <w:r>
        <w:rPr>
          <w:rFonts w:hint="eastAsia" w:hAnsi="宋体" w:eastAsia="宋体" w:cs="Times New Roman"/>
          <w:color w:val="auto"/>
          <w:spacing w:val="60"/>
          <w:kern w:val="24"/>
        </w:rPr>
        <w:t>1</w:t>
      </w:r>
      <w:r>
        <w:rPr>
          <w:rFonts w:hAnsi="宋体" w:cs="宋体"/>
          <w:kern w:val="2"/>
          <w:szCs w:val="21"/>
        </w:rPr>
        <w:t>cm</w:t>
      </w:r>
      <w:r>
        <w:rPr>
          <w:rFonts w:hint="eastAsia" w:hAnsi="宋体" w:cs="宋体"/>
          <w:kern w:val="2"/>
          <w:szCs w:val="21"/>
        </w:rPr>
        <w:t>左右</w:t>
      </w:r>
      <w:r>
        <w:rPr>
          <w:rFonts w:hAnsi="宋体" w:cs="宋体"/>
          <w:kern w:val="2"/>
          <w:szCs w:val="21"/>
        </w:rPr>
        <w:t>时先放风</w:t>
      </w:r>
      <w:r>
        <w:rPr>
          <w:rFonts w:hint="eastAsia" w:hAnsi="宋体" w:cs="宋体"/>
          <w:kern w:val="2"/>
          <w:szCs w:val="21"/>
        </w:rPr>
        <w:t>、</w:t>
      </w:r>
      <w:r>
        <w:rPr>
          <w:rFonts w:hAnsi="宋体" w:cs="宋体"/>
          <w:kern w:val="2"/>
          <w:szCs w:val="21"/>
        </w:rPr>
        <w:t>解袋。</w:t>
      </w:r>
    </w:p>
    <w:p>
      <w:pPr>
        <w:pStyle w:val="70"/>
        <w:spacing w:before="312" w:after="312"/>
      </w:pPr>
      <w:r>
        <w:t>整形修剪</w:t>
      </w:r>
    </w:p>
    <w:p>
      <w:pPr>
        <w:pStyle w:val="67"/>
        <w:spacing w:before="156" w:after="156"/>
      </w:pPr>
      <w:r>
        <w:t>整形</w:t>
      </w:r>
    </w:p>
    <w:p>
      <w:pPr>
        <w:pStyle w:val="71"/>
        <w:spacing w:before="156" w:after="156"/>
        <w:rPr>
          <w:rFonts w:hint="eastAsia" w:ascii="Calibri" w:hAnsi="Calibri"/>
        </w:rPr>
      </w:pPr>
      <w:r>
        <w:rPr>
          <w:rFonts w:hint="eastAsia" w:ascii="Calibri" w:hAnsi="Calibri"/>
        </w:rPr>
        <w:t>主要树形</w:t>
      </w:r>
    </w:p>
    <w:p>
      <w:pPr>
        <w:pStyle w:val="32"/>
        <w:rPr>
          <w:rFonts w:hint="eastAsia" w:hAnsi="宋体" w:eastAsia="宋体" w:cs="宋体"/>
          <w:kern w:val="2"/>
          <w:szCs w:val="21"/>
          <w:lang w:val="en" w:eastAsia="zh-CN"/>
        </w:rPr>
      </w:pPr>
      <w:r>
        <w:rPr>
          <w:rFonts w:hAnsi="宋体" w:cs="宋体"/>
          <w:kern w:val="2"/>
          <w:szCs w:val="21"/>
        </w:rPr>
        <w:t>依株行距</w:t>
      </w:r>
      <w:r>
        <w:rPr>
          <w:rFonts w:hint="eastAsia" w:hAnsi="宋体" w:cs="宋体"/>
          <w:kern w:val="2"/>
          <w:szCs w:val="21"/>
        </w:rPr>
        <w:t>和地形地势</w:t>
      </w:r>
      <w:r>
        <w:rPr>
          <w:rFonts w:hAnsi="宋体" w:cs="宋体"/>
          <w:kern w:val="2"/>
          <w:szCs w:val="21"/>
        </w:rPr>
        <w:t>，选择</w:t>
      </w:r>
      <w:r>
        <w:rPr>
          <w:rFonts w:hint="eastAsia" w:hAnsi="宋体" w:cs="宋体"/>
          <w:kern w:val="2"/>
          <w:szCs w:val="21"/>
        </w:rPr>
        <w:t>三主枝</w:t>
      </w:r>
      <w:r>
        <w:rPr>
          <w:rFonts w:hAnsi="宋体" w:cs="宋体"/>
          <w:kern w:val="2"/>
          <w:szCs w:val="21"/>
        </w:rPr>
        <w:t>开心形</w:t>
      </w:r>
      <w:r>
        <w:rPr>
          <w:rFonts w:hint="eastAsia" w:hAnsi="宋体" w:cs="宋体"/>
          <w:kern w:val="2"/>
          <w:szCs w:val="21"/>
        </w:rPr>
        <w:t>或二主枝</w:t>
      </w:r>
      <w:r>
        <w:rPr>
          <w:rFonts w:hAnsi="宋体" w:cs="宋体"/>
          <w:kern w:val="2"/>
          <w:szCs w:val="21"/>
        </w:rPr>
        <w:t>开心形</w:t>
      </w:r>
      <w:r>
        <w:rPr>
          <w:rFonts w:hint="eastAsia" w:hAnsi="宋体" w:cs="宋体"/>
          <w:kern w:val="2"/>
          <w:szCs w:val="21"/>
        </w:rPr>
        <w:t>结构</w:t>
      </w:r>
      <w:r>
        <w:rPr>
          <w:rFonts w:hint="eastAsia" w:hAnsi="宋体" w:cs="宋体"/>
          <w:kern w:val="2"/>
          <w:szCs w:val="21"/>
          <w:lang w:val="en" w:eastAsia="zh-CN"/>
        </w:rPr>
        <w:t>：</w:t>
      </w:r>
    </w:p>
    <w:p>
      <w:pPr>
        <w:pStyle w:val="73"/>
        <w:bidi w:val="0"/>
        <w:rPr>
          <w:rFonts w:hint="default"/>
          <w:lang w:val="en"/>
        </w:rPr>
      </w:pPr>
      <w:r>
        <w:rPr>
          <w:rFonts w:hint="eastAsia" w:hAnsi="宋体" w:cs="宋体"/>
          <w:kern w:val="2"/>
          <w:szCs w:val="21"/>
        </w:rPr>
        <w:t>三主枝</w:t>
      </w:r>
      <w:r>
        <w:rPr>
          <w:rFonts w:hAnsi="宋体" w:cs="宋体"/>
          <w:kern w:val="2"/>
          <w:szCs w:val="21"/>
        </w:rPr>
        <w:t>开心形</w:t>
      </w:r>
      <w:r>
        <w:rPr>
          <w:rFonts w:hint="eastAsia" w:hAnsi="宋体" w:cs="宋体"/>
          <w:kern w:val="2"/>
          <w:szCs w:val="21"/>
          <w:lang w:eastAsia="zh-CN"/>
        </w:rPr>
        <w:t>。</w:t>
      </w:r>
      <w:r>
        <w:rPr>
          <w:rFonts w:hint="eastAsia" w:hAnsi="宋体" w:cs="宋体"/>
          <w:kern w:val="2"/>
          <w:szCs w:val="21"/>
        </w:rPr>
        <w:t>定干高度8</w:t>
      </w:r>
      <w:r>
        <w:rPr>
          <w:rFonts w:hint="eastAsia" w:hAnsi="宋体" w:eastAsia="宋体" w:cs="Times New Roman"/>
          <w:color w:val="auto"/>
          <w:spacing w:val="60"/>
          <w:kern w:val="24"/>
        </w:rPr>
        <w:t>0</w:t>
      </w:r>
      <w:r>
        <w:rPr>
          <w:rFonts w:hint="eastAsia" w:hAnsi="宋体" w:cs="宋体"/>
          <w:kern w:val="2"/>
          <w:szCs w:val="21"/>
        </w:rPr>
        <w:t>cm</w:t>
      </w:r>
      <w:r>
        <w:rPr>
          <w:rFonts w:hAnsi="宋体" w:cs="宋体"/>
          <w:kern w:val="2"/>
          <w:szCs w:val="21"/>
        </w:rPr>
        <w:t>～</w:t>
      </w:r>
      <w:r>
        <w:rPr>
          <w:rFonts w:hint="eastAsia" w:hAnsi="宋体" w:cs="宋体"/>
          <w:kern w:val="2"/>
          <w:szCs w:val="21"/>
        </w:rPr>
        <w:t>12</w:t>
      </w:r>
      <w:r>
        <w:rPr>
          <w:rFonts w:hint="eastAsia" w:hAnsi="宋体" w:eastAsia="宋体" w:cs="Times New Roman"/>
          <w:color w:val="auto"/>
          <w:spacing w:val="60"/>
          <w:kern w:val="24"/>
        </w:rPr>
        <w:t>0</w:t>
      </w:r>
      <w:r>
        <w:rPr>
          <w:rFonts w:hAnsi="宋体" w:cs="宋体"/>
          <w:kern w:val="2"/>
          <w:szCs w:val="21"/>
        </w:rPr>
        <w:t>cm</w:t>
      </w:r>
      <w:r>
        <w:rPr>
          <w:rFonts w:hint="eastAsia" w:hAnsi="宋体" w:cs="宋体"/>
          <w:kern w:val="2"/>
          <w:szCs w:val="21"/>
        </w:rPr>
        <w:t>，</w:t>
      </w:r>
      <w:r>
        <w:rPr>
          <w:rFonts w:hAnsi="宋体" w:cs="宋体"/>
          <w:kern w:val="2"/>
          <w:szCs w:val="21"/>
        </w:rPr>
        <w:t>每株树留3个主枝</w:t>
      </w:r>
      <w:r>
        <w:rPr>
          <w:rFonts w:hint="eastAsia" w:hAnsi="宋体" w:cs="宋体"/>
          <w:kern w:val="2"/>
          <w:szCs w:val="21"/>
        </w:rPr>
        <w:t>（避开正南向）</w:t>
      </w:r>
      <w:r>
        <w:rPr>
          <w:rFonts w:hAnsi="宋体" w:cs="宋体"/>
          <w:kern w:val="2"/>
          <w:szCs w:val="21"/>
        </w:rPr>
        <w:t>，主枝</w:t>
      </w:r>
      <w:r>
        <w:rPr>
          <w:rFonts w:hint="eastAsia" w:hAnsi="宋体" w:cs="宋体"/>
          <w:kern w:val="2"/>
          <w:szCs w:val="21"/>
        </w:rPr>
        <w:t>水平夹角</w:t>
      </w:r>
      <w:r>
        <w:rPr>
          <w:rFonts w:hAnsi="宋体" w:cs="宋体"/>
          <w:kern w:val="2"/>
          <w:szCs w:val="21"/>
        </w:rPr>
        <w:t>12</w:t>
      </w:r>
      <w:r>
        <w:rPr>
          <w:rFonts w:hint="eastAsia" w:hAnsi="宋体" w:eastAsia="宋体" w:cs="Times New Roman"/>
          <w:color w:val="auto"/>
          <w:spacing w:val="60"/>
          <w:kern w:val="24"/>
        </w:rPr>
        <w:t>0</w:t>
      </w:r>
      <w:r>
        <w:rPr>
          <w:rFonts w:hAnsi="宋体" w:cs="宋体"/>
          <w:kern w:val="2"/>
          <w:szCs w:val="21"/>
        </w:rPr>
        <w:t>°</w:t>
      </w:r>
      <w:r>
        <w:rPr>
          <w:rFonts w:hint="eastAsia" w:hAnsi="宋体" w:cs="宋体"/>
          <w:kern w:val="2"/>
          <w:szCs w:val="21"/>
        </w:rPr>
        <w:t>左右</w:t>
      </w:r>
      <w:r>
        <w:rPr>
          <w:rFonts w:hAnsi="宋体" w:cs="宋体"/>
          <w:kern w:val="2"/>
          <w:szCs w:val="21"/>
        </w:rPr>
        <w:t>，</w:t>
      </w:r>
      <w:r>
        <w:rPr>
          <w:rFonts w:hint="eastAsia" w:hAnsi="宋体" w:cs="宋体"/>
          <w:kern w:val="2"/>
          <w:szCs w:val="21"/>
        </w:rPr>
        <w:t>垂直分枝角度6</w:t>
      </w:r>
      <w:r>
        <w:rPr>
          <w:rFonts w:hint="eastAsia" w:hAnsi="宋体" w:eastAsia="宋体" w:cs="Times New Roman"/>
          <w:color w:val="auto"/>
          <w:spacing w:val="60"/>
          <w:kern w:val="24"/>
        </w:rPr>
        <w:t>0</w:t>
      </w:r>
      <w:r>
        <w:rPr>
          <w:rFonts w:hint="eastAsia" w:hAnsi="宋体" w:cs="宋体"/>
          <w:kern w:val="2"/>
          <w:szCs w:val="21"/>
        </w:rPr>
        <w:t>°</w:t>
      </w:r>
      <w:r>
        <w:rPr>
          <w:rFonts w:hAnsi="宋体" w:cs="宋体"/>
          <w:kern w:val="2"/>
          <w:szCs w:val="21"/>
        </w:rPr>
        <w:t>～</w:t>
      </w:r>
      <w:r>
        <w:rPr>
          <w:rFonts w:hint="eastAsia" w:hAnsi="宋体" w:cs="宋体"/>
          <w:kern w:val="2"/>
          <w:szCs w:val="21"/>
        </w:rPr>
        <w:t>7</w:t>
      </w:r>
      <w:r>
        <w:rPr>
          <w:rFonts w:hint="eastAsia" w:hAnsi="宋体" w:eastAsia="宋体" w:cs="Times New Roman"/>
          <w:color w:val="auto"/>
          <w:spacing w:val="60"/>
          <w:kern w:val="24"/>
        </w:rPr>
        <w:t>0</w:t>
      </w:r>
      <w:r>
        <w:rPr>
          <w:rFonts w:hint="eastAsia" w:hAnsi="宋体" w:cs="宋体"/>
          <w:kern w:val="2"/>
          <w:szCs w:val="21"/>
        </w:rPr>
        <w:t>°；</w:t>
      </w:r>
      <w:r>
        <w:rPr>
          <w:rFonts w:hAnsi="宋体" w:cs="宋体"/>
          <w:kern w:val="2"/>
          <w:szCs w:val="21"/>
        </w:rPr>
        <w:t>每个主枝配置</w:t>
      </w:r>
      <w:r>
        <w:rPr>
          <w:rFonts w:hint="eastAsia" w:hAnsi="宋体" w:cs="宋体"/>
          <w:kern w:val="2"/>
          <w:szCs w:val="21"/>
        </w:rPr>
        <w:t>2</w:t>
      </w:r>
      <w:r>
        <w:rPr>
          <w:rFonts w:hAnsi="宋体" w:cs="宋体"/>
          <w:kern w:val="2"/>
          <w:szCs w:val="21"/>
        </w:rPr>
        <w:t>～</w:t>
      </w:r>
      <w:r>
        <w:rPr>
          <w:rFonts w:hint="eastAsia" w:hAnsi="宋体" w:cs="宋体"/>
          <w:kern w:val="2"/>
          <w:szCs w:val="21"/>
        </w:rPr>
        <w:t>4</w:t>
      </w:r>
      <w:r>
        <w:rPr>
          <w:rFonts w:hAnsi="宋体" w:cs="宋体"/>
          <w:kern w:val="2"/>
          <w:szCs w:val="21"/>
        </w:rPr>
        <w:t>个侧枝</w:t>
      </w:r>
      <w:r>
        <w:rPr>
          <w:rFonts w:hint="eastAsia" w:hAnsi="宋体" w:cs="宋体"/>
          <w:kern w:val="2"/>
          <w:szCs w:val="21"/>
          <w:lang w:val="en" w:eastAsia="zh-CN"/>
        </w:rPr>
        <w:t>；</w:t>
      </w:r>
    </w:p>
    <w:p>
      <w:pPr>
        <w:pStyle w:val="73"/>
        <w:bidi w:val="0"/>
        <w:rPr>
          <w:rFonts w:hint="default"/>
          <w:lang w:val="en"/>
        </w:rPr>
      </w:pPr>
      <w:r>
        <w:rPr>
          <w:rFonts w:hint="eastAsia" w:hAnsi="宋体" w:cs="宋体"/>
          <w:kern w:val="2"/>
          <w:szCs w:val="21"/>
        </w:rPr>
        <w:t>二主枝</w:t>
      </w:r>
      <w:r>
        <w:rPr>
          <w:rFonts w:hAnsi="宋体" w:cs="宋体"/>
          <w:kern w:val="2"/>
          <w:szCs w:val="21"/>
        </w:rPr>
        <w:t>开心形</w:t>
      </w:r>
      <w:r>
        <w:rPr>
          <w:rFonts w:hint="eastAsia" w:hAnsi="宋体" w:cs="宋体"/>
          <w:kern w:val="2"/>
          <w:szCs w:val="21"/>
          <w:lang w:eastAsia="zh-CN"/>
        </w:rPr>
        <w:t>。</w:t>
      </w:r>
      <w:r>
        <w:rPr>
          <w:rFonts w:hAnsi="宋体" w:cs="宋体"/>
          <w:kern w:val="2"/>
          <w:szCs w:val="21"/>
        </w:rPr>
        <w:t>每株树</w:t>
      </w:r>
      <w:r>
        <w:rPr>
          <w:rFonts w:hint="eastAsia" w:hAnsi="宋体" w:cs="宋体"/>
          <w:kern w:val="2"/>
          <w:szCs w:val="21"/>
        </w:rPr>
        <w:t>对向</w:t>
      </w:r>
      <w:r>
        <w:rPr>
          <w:rFonts w:hAnsi="宋体" w:cs="宋体"/>
          <w:kern w:val="2"/>
          <w:szCs w:val="21"/>
        </w:rPr>
        <w:t>选留2个伸向行间的主枝，两主枝基部相距</w:t>
      </w:r>
      <w:r>
        <w:rPr>
          <w:rFonts w:hint="eastAsia" w:hAnsi="宋体" w:cs="宋体"/>
          <w:kern w:val="2"/>
          <w:szCs w:val="21"/>
        </w:rPr>
        <w:t>≥</w:t>
      </w:r>
      <w:r>
        <w:rPr>
          <w:rFonts w:hAnsi="宋体" w:cs="宋体"/>
          <w:kern w:val="2"/>
          <w:szCs w:val="21"/>
        </w:rPr>
        <w:t>1</w:t>
      </w:r>
      <w:r>
        <w:rPr>
          <w:rFonts w:hint="eastAsia" w:hAnsi="宋体" w:eastAsia="宋体" w:cs="Times New Roman"/>
          <w:color w:val="auto"/>
          <w:spacing w:val="60"/>
          <w:kern w:val="24"/>
        </w:rPr>
        <w:t>0</w:t>
      </w:r>
      <w:r>
        <w:rPr>
          <w:rFonts w:hAnsi="宋体" w:cs="宋体"/>
          <w:kern w:val="2"/>
          <w:szCs w:val="21"/>
        </w:rPr>
        <w:t xml:space="preserve">cm </w:t>
      </w:r>
      <w:r>
        <w:rPr>
          <w:rFonts w:hint="eastAsia" w:hAnsi="宋体" w:cs="宋体"/>
          <w:kern w:val="2"/>
          <w:szCs w:val="21"/>
        </w:rPr>
        <w:t>，</w:t>
      </w:r>
      <w:r>
        <w:rPr>
          <w:rFonts w:hAnsi="宋体" w:cs="宋体"/>
          <w:kern w:val="2"/>
          <w:szCs w:val="21"/>
        </w:rPr>
        <w:t>主枝夹角</w:t>
      </w:r>
      <w:r>
        <w:rPr>
          <w:rFonts w:hint="eastAsia" w:hAnsi="宋体" w:cs="宋体"/>
          <w:kern w:val="2"/>
          <w:szCs w:val="21"/>
        </w:rPr>
        <w:t>8</w:t>
      </w:r>
      <w:r>
        <w:rPr>
          <w:rFonts w:hint="eastAsia" w:hAnsi="宋体" w:eastAsia="宋体" w:cs="Times New Roman"/>
          <w:color w:val="auto"/>
          <w:spacing w:val="60"/>
          <w:kern w:val="24"/>
        </w:rPr>
        <w:t>0</w:t>
      </w:r>
      <w:r>
        <w:rPr>
          <w:rFonts w:hint="eastAsia" w:hAnsi="宋体" w:cs="宋体"/>
          <w:kern w:val="2"/>
          <w:szCs w:val="21"/>
        </w:rPr>
        <w:t>°</w:t>
      </w:r>
      <w:r>
        <w:rPr>
          <w:rFonts w:hAnsi="宋体" w:cs="宋体"/>
          <w:kern w:val="2"/>
          <w:szCs w:val="21"/>
        </w:rPr>
        <w:t>～</w:t>
      </w:r>
      <w:r>
        <w:rPr>
          <w:rFonts w:hint="eastAsia" w:hAnsi="宋体" w:cs="宋体"/>
          <w:kern w:val="2"/>
          <w:szCs w:val="21"/>
        </w:rPr>
        <w:t xml:space="preserve"> 10</w:t>
      </w:r>
      <w:r>
        <w:rPr>
          <w:rFonts w:hint="eastAsia" w:hAnsi="宋体" w:eastAsia="宋体" w:cs="Times New Roman"/>
          <w:color w:val="auto"/>
          <w:spacing w:val="60"/>
          <w:kern w:val="24"/>
        </w:rPr>
        <w:t>0</w:t>
      </w:r>
      <w:r>
        <w:rPr>
          <w:rFonts w:hAnsi="宋体" w:cs="宋体"/>
          <w:kern w:val="2"/>
          <w:szCs w:val="21"/>
        </w:rPr>
        <w:t>°</w:t>
      </w:r>
      <w:r>
        <w:rPr>
          <w:rFonts w:hint="eastAsia" w:hAnsi="宋体" w:cs="宋体"/>
          <w:kern w:val="2"/>
          <w:szCs w:val="21"/>
        </w:rPr>
        <w:t>；主枝上直接着生结果枝或每个主枝上配备2</w:t>
      </w:r>
      <w:r>
        <w:rPr>
          <w:rFonts w:hAnsi="宋体" w:cs="宋体"/>
          <w:kern w:val="2"/>
          <w:szCs w:val="21"/>
        </w:rPr>
        <w:t>～</w:t>
      </w:r>
      <w:r>
        <w:rPr>
          <w:rFonts w:hint="eastAsia" w:hAnsi="宋体" w:cs="宋体"/>
          <w:kern w:val="2"/>
          <w:szCs w:val="21"/>
        </w:rPr>
        <w:t>3个侧枝</w:t>
      </w:r>
      <w:r>
        <w:rPr>
          <w:rFonts w:hint="eastAsia" w:hAnsi="宋体" w:cs="宋体"/>
          <w:kern w:val="2"/>
          <w:szCs w:val="21"/>
          <w:lang w:val="en" w:eastAsia="zh-CN"/>
        </w:rPr>
        <w:t>。</w:t>
      </w:r>
    </w:p>
    <w:p>
      <w:pPr>
        <w:pStyle w:val="71"/>
        <w:spacing w:before="156" w:after="156"/>
        <w:rPr>
          <w:rFonts w:hint="eastAsia" w:ascii="Calibri" w:hAnsi="Calibri"/>
        </w:rPr>
      </w:pPr>
      <w:r>
        <w:rPr>
          <w:rFonts w:hint="eastAsia" w:ascii="Calibri" w:hAnsi="Calibri"/>
        </w:rPr>
        <w:t>幼树和初结果树修剪</w:t>
      </w:r>
    </w:p>
    <w:p>
      <w:pPr>
        <w:pStyle w:val="32"/>
        <w:rPr>
          <w:rFonts w:hint="eastAsia" w:hAnsi="宋体" w:cs="宋体"/>
          <w:kern w:val="2"/>
          <w:szCs w:val="21"/>
        </w:rPr>
      </w:pPr>
      <w:r>
        <w:rPr>
          <w:rFonts w:hint="eastAsia" w:hAnsi="宋体" w:cs="宋体"/>
          <w:kern w:val="2"/>
          <w:szCs w:val="21"/>
        </w:rPr>
        <w:t>以整形为主。在主枝新梢全长的1/3 ～1/2处留外芽短截，弱枝长留，强枝短留，主枝角度小时可用副梢做延长枝。在距地面约</w:t>
      </w:r>
      <w:r>
        <w:rPr>
          <w:rFonts w:hint="eastAsia" w:ascii="宋体" w:hAnsi="宋体" w:eastAsia="宋体" w:cs="Times New Roman"/>
          <w:color w:val="auto"/>
          <w:spacing w:val="60"/>
          <w:kern w:val="24"/>
        </w:rPr>
        <w:t>1</w:t>
      </w:r>
      <w:r>
        <w:rPr>
          <w:rFonts w:hint="eastAsia" w:hAnsi="宋体" w:cs="宋体"/>
          <w:kern w:val="2"/>
          <w:szCs w:val="21"/>
        </w:rPr>
        <w:t>m 处培养第1侧枝，第2侧枝在第1侧枝对面，相距5</w:t>
      </w:r>
      <w:r>
        <w:rPr>
          <w:rFonts w:hint="eastAsia" w:ascii="宋体" w:hAnsi="宋体" w:eastAsia="宋体" w:cs="Times New Roman"/>
          <w:color w:val="auto"/>
          <w:spacing w:val="60"/>
          <w:kern w:val="24"/>
        </w:rPr>
        <w:t>0</w:t>
      </w:r>
      <w:r>
        <w:rPr>
          <w:rFonts w:hint="eastAsia" w:hAnsi="宋体" w:cs="宋体"/>
          <w:kern w:val="2"/>
          <w:szCs w:val="21"/>
        </w:rPr>
        <w:t>cm，全树侧枝顺向交错排列，</w:t>
      </w:r>
      <w:r>
        <w:rPr>
          <w:rFonts w:hAnsi="宋体" w:cs="宋体"/>
          <w:kern w:val="2"/>
          <w:szCs w:val="21"/>
        </w:rPr>
        <w:t>每主枝</w:t>
      </w:r>
      <w:r>
        <w:rPr>
          <w:rFonts w:hint="eastAsia" w:hAnsi="宋体" w:cs="宋体"/>
          <w:kern w:val="2"/>
          <w:szCs w:val="21"/>
        </w:rPr>
        <w:t>上</w:t>
      </w:r>
      <w:r>
        <w:rPr>
          <w:rFonts w:hAnsi="宋体" w:cs="宋体"/>
          <w:kern w:val="2"/>
          <w:szCs w:val="21"/>
        </w:rPr>
        <w:t>同向侧枝相距1</w:t>
      </w:r>
      <w:r>
        <w:rPr>
          <w:rFonts w:hint="eastAsia" w:hAnsi="宋体" w:cs="宋体"/>
          <w:kern w:val="2"/>
          <w:szCs w:val="21"/>
        </w:rPr>
        <w:t>.</w:t>
      </w:r>
      <w:r>
        <w:rPr>
          <w:rFonts w:hint="eastAsia" w:ascii="宋体" w:hAnsi="宋体" w:eastAsia="宋体" w:cs="Times New Roman"/>
          <w:color w:val="auto"/>
          <w:spacing w:val="60"/>
          <w:kern w:val="24"/>
        </w:rPr>
        <w:t>2</w:t>
      </w:r>
      <w:r>
        <w:rPr>
          <w:rFonts w:hAnsi="宋体" w:cs="宋体"/>
          <w:kern w:val="2"/>
          <w:szCs w:val="21"/>
        </w:rPr>
        <w:t>m～</w:t>
      </w:r>
      <w:r>
        <w:rPr>
          <w:rFonts w:hint="eastAsia" w:hAnsi="宋体" w:cs="宋体"/>
          <w:kern w:val="2"/>
          <w:szCs w:val="21"/>
        </w:rPr>
        <w:t>1.</w:t>
      </w:r>
      <w:r>
        <w:rPr>
          <w:rFonts w:hint="eastAsia" w:ascii="宋体" w:hAnsi="宋体" w:eastAsia="宋体" w:cs="Times New Roman"/>
          <w:color w:val="auto"/>
          <w:spacing w:val="60"/>
          <w:kern w:val="24"/>
        </w:rPr>
        <w:t>5</w:t>
      </w:r>
      <w:r>
        <w:rPr>
          <w:rFonts w:hint="eastAsia" w:hAnsi="宋体" w:cs="宋体"/>
          <w:kern w:val="2"/>
          <w:szCs w:val="21"/>
        </w:rPr>
        <w:t>m，上级侧枝比下级侧枝的粗度和长度依次减小，开张角度 5</w:t>
      </w:r>
      <w:r>
        <w:rPr>
          <w:rFonts w:hint="eastAsia" w:ascii="宋体" w:hAnsi="宋体" w:eastAsia="宋体" w:cs="Times New Roman"/>
          <w:color w:val="auto"/>
          <w:spacing w:val="60"/>
          <w:kern w:val="24"/>
        </w:rPr>
        <w:t>0</w:t>
      </w:r>
      <w:r>
        <w:rPr>
          <w:rFonts w:hint="eastAsia" w:hAnsi="宋体" w:cs="宋体"/>
          <w:kern w:val="2"/>
          <w:szCs w:val="21"/>
        </w:rPr>
        <w:t>°，与主枝开张角度6</w:t>
      </w:r>
      <w:r>
        <w:rPr>
          <w:rFonts w:hint="eastAsia" w:ascii="宋体" w:hAnsi="宋体" w:eastAsia="宋体" w:cs="Times New Roman"/>
          <w:color w:val="auto"/>
          <w:spacing w:val="60"/>
          <w:kern w:val="24"/>
        </w:rPr>
        <w:t>0</w:t>
      </w:r>
      <w:r>
        <w:rPr>
          <w:rFonts w:hint="eastAsia" w:hAnsi="宋体" w:cs="宋体"/>
          <w:kern w:val="2"/>
          <w:szCs w:val="21"/>
        </w:rPr>
        <w:t>°左右；主枝和侧枝上均匀分布中小型结果枝组或结果枝。树高控制在</w:t>
      </w:r>
      <w:r>
        <w:rPr>
          <w:rFonts w:hAnsi="宋体" w:cs="宋体"/>
          <w:kern w:val="2"/>
          <w:szCs w:val="21"/>
        </w:rPr>
        <w:t>3</w:t>
      </w:r>
      <w:r>
        <w:rPr>
          <w:rFonts w:hint="eastAsia" w:hAnsi="宋体" w:cs="宋体"/>
          <w:kern w:val="2"/>
          <w:szCs w:val="21"/>
        </w:rPr>
        <w:t>.</w:t>
      </w:r>
      <w:r>
        <w:rPr>
          <w:rFonts w:hint="eastAsia" w:ascii="宋体" w:hAnsi="宋体" w:eastAsia="宋体" w:cs="Times New Roman"/>
          <w:color w:val="auto"/>
          <w:spacing w:val="60"/>
          <w:kern w:val="24"/>
        </w:rPr>
        <w:t>0</w:t>
      </w:r>
      <w:r>
        <w:rPr>
          <w:rFonts w:hint="eastAsia" w:hAnsi="宋体" w:cs="宋体"/>
          <w:kern w:val="2"/>
          <w:szCs w:val="21"/>
        </w:rPr>
        <w:t>m</w:t>
      </w:r>
      <w:r>
        <w:rPr>
          <w:rFonts w:hAnsi="宋体" w:cs="宋体"/>
          <w:kern w:val="2"/>
          <w:szCs w:val="21"/>
        </w:rPr>
        <w:t>～</w:t>
      </w:r>
      <w:r>
        <w:rPr>
          <w:rFonts w:hint="eastAsia" w:hAnsi="宋体" w:cs="宋体"/>
          <w:kern w:val="2"/>
          <w:szCs w:val="21"/>
        </w:rPr>
        <w:t>3.</w:t>
      </w:r>
      <w:r>
        <w:rPr>
          <w:rFonts w:hint="eastAsia" w:ascii="宋体" w:hAnsi="宋体" w:eastAsia="宋体" w:cs="Times New Roman"/>
          <w:color w:val="auto"/>
          <w:spacing w:val="60"/>
          <w:kern w:val="24"/>
        </w:rPr>
        <w:t>5</w:t>
      </w:r>
      <w:r>
        <w:rPr>
          <w:rFonts w:hAnsi="宋体" w:cs="宋体"/>
          <w:kern w:val="2"/>
          <w:szCs w:val="21"/>
        </w:rPr>
        <w:t>m</w:t>
      </w:r>
      <w:r>
        <w:rPr>
          <w:rFonts w:hint="eastAsia" w:hAnsi="宋体" w:cs="宋体"/>
          <w:kern w:val="2"/>
          <w:szCs w:val="21"/>
        </w:rPr>
        <w:t>。</w:t>
      </w:r>
    </w:p>
    <w:p>
      <w:pPr>
        <w:pStyle w:val="71"/>
        <w:spacing w:before="156" w:after="156"/>
        <w:rPr>
          <w:rFonts w:hint="eastAsia" w:ascii="Calibri" w:hAnsi="Calibri"/>
        </w:rPr>
      </w:pPr>
      <w:r>
        <w:rPr>
          <w:rFonts w:hint="eastAsia" w:ascii="Calibri" w:hAnsi="Calibri"/>
        </w:rPr>
        <w:t>盛果期树修剪</w:t>
      </w:r>
    </w:p>
    <w:p>
      <w:pPr>
        <w:pStyle w:val="76"/>
        <w:bidi w:val="0"/>
        <w:rPr>
          <w:rFonts w:hint="eastAsia"/>
        </w:rPr>
      </w:pPr>
      <w:r>
        <w:rPr>
          <w:rFonts w:hint="eastAsia" w:hAnsi="宋体" w:cs="宋体"/>
          <w:kern w:val="2"/>
          <w:szCs w:val="21"/>
        </w:rPr>
        <w:t>冬剪</w:t>
      </w:r>
    </w:p>
    <w:p>
      <w:pPr>
        <w:pStyle w:val="32"/>
        <w:rPr>
          <w:rFonts w:hint="eastAsia" w:eastAsia="宋体"/>
          <w:lang w:eastAsia="zh-CN"/>
        </w:rPr>
      </w:pPr>
      <w:r>
        <w:rPr>
          <w:rFonts w:hint="eastAsia" w:hAnsi="宋体" w:cs="宋体"/>
          <w:kern w:val="2"/>
          <w:szCs w:val="21"/>
        </w:rPr>
        <w:t>萌芽前修剪。对骨干枝</w:t>
      </w:r>
      <w:r>
        <w:rPr>
          <w:rFonts w:hAnsi="宋体" w:cs="宋体"/>
          <w:kern w:val="2"/>
          <w:szCs w:val="21"/>
        </w:rPr>
        <w:t>长势强的不短截，长势中庸的</w:t>
      </w:r>
      <w:r>
        <w:rPr>
          <w:rFonts w:hint="eastAsia" w:hAnsi="宋体" w:cs="宋体"/>
          <w:kern w:val="2"/>
          <w:szCs w:val="21"/>
        </w:rPr>
        <w:t>适度</w:t>
      </w:r>
      <w:r>
        <w:rPr>
          <w:rFonts w:hAnsi="宋体" w:cs="宋体"/>
          <w:kern w:val="2"/>
          <w:szCs w:val="21"/>
        </w:rPr>
        <w:t>剪截到壮枝处</w:t>
      </w:r>
      <w:r>
        <w:rPr>
          <w:rFonts w:hint="eastAsia" w:hAnsi="宋体" w:cs="宋体"/>
          <w:kern w:val="2"/>
          <w:szCs w:val="21"/>
        </w:rPr>
        <w:t>，</w:t>
      </w:r>
      <w:r>
        <w:rPr>
          <w:rFonts w:hAnsi="宋体" w:cs="宋体"/>
          <w:kern w:val="2"/>
          <w:szCs w:val="21"/>
        </w:rPr>
        <w:t>长势弱的壮枝带头</w:t>
      </w:r>
      <w:r>
        <w:rPr>
          <w:rFonts w:hint="eastAsia" w:hAnsi="宋体" w:cs="宋体"/>
          <w:kern w:val="2"/>
          <w:szCs w:val="21"/>
        </w:rPr>
        <w:t>，保持单轴延伸，主枝延长枝剪口下3</w:t>
      </w:r>
      <w:r>
        <w:rPr>
          <w:rFonts w:hint="eastAsia" w:ascii="宋体" w:hAnsi="宋体" w:eastAsia="宋体" w:cs="Times New Roman"/>
          <w:color w:val="auto"/>
          <w:spacing w:val="60"/>
          <w:kern w:val="24"/>
        </w:rPr>
        <w:t>0</w:t>
      </w:r>
      <w:r>
        <w:rPr>
          <w:rFonts w:hint="eastAsia" w:hAnsi="宋体" w:cs="宋体"/>
          <w:kern w:val="2"/>
          <w:szCs w:val="21"/>
        </w:rPr>
        <w:t>cm 内枝条疏除或留1～2芽重短截。非骨干枝轻剪长放，疏除竞争枝、背下枝和主枝基部的萌生枝，保留平斜枝；对结果后的下垂枝组在分枝处回缩或在基部留芽重短截。在骨干枝上按同侧2</w:t>
      </w:r>
      <w:r>
        <w:rPr>
          <w:rFonts w:hint="eastAsia" w:ascii="宋体" w:hAnsi="宋体" w:eastAsia="宋体" w:cs="Times New Roman"/>
          <w:color w:val="auto"/>
          <w:spacing w:val="60"/>
          <w:kern w:val="24"/>
        </w:rPr>
        <w:t>0</w:t>
      </w:r>
      <w:r>
        <w:rPr>
          <w:rFonts w:hint="eastAsia" w:hAnsi="宋体" w:cs="宋体"/>
          <w:kern w:val="2"/>
          <w:szCs w:val="21"/>
        </w:rPr>
        <w:t>cm</w:t>
      </w:r>
      <w:r>
        <w:rPr>
          <w:rFonts w:hAnsi="宋体" w:cs="宋体"/>
          <w:kern w:val="2"/>
          <w:szCs w:val="21"/>
        </w:rPr>
        <w:t>～</w:t>
      </w:r>
      <w:r>
        <w:rPr>
          <w:rFonts w:hint="eastAsia" w:hAnsi="宋体" w:cs="宋体"/>
          <w:kern w:val="2"/>
          <w:szCs w:val="21"/>
        </w:rPr>
        <w:t>3</w:t>
      </w:r>
      <w:r>
        <w:rPr>
          <w:rFonts w:hint="eastAsia" w:ascii="宋体" w:hAnsi="宋体" w:eastAsia="宋体" w:cs="Times New Roman"/>
          <w:color w:val="auto"/>
          <w:spacing w:val="60"/>
          <w:kern w:val="24"/>
        </w:rPr>
        <w:t>0</w:t>
      </w:r>
      <w:r>
        <w:rPr>
          <w:rFonts w:hAnsi="宋体" w:cs="宋体"/>
          <w:kern w:val="2"/>
          <w:szCs w:val="21"/>
        </w:rPr>
        <w:t>cm</w:t>
      </w:r>
      <w:r>
        <w:rPr>
          <w:rFonts w:hint="eastAsia" w:hAnsi="宋体" w:cs="宋体"/>
          <w:kern w:val="2"/>
          <w:szCs w:val="21"/>
        </w:rPr>
        <w:t>距离选留</w:t>
      </w:r>
      <w:r>
        <w:rPr>
          <w:rFonts w:hAnsi="宋体" w:cs="宋体"/>
          <w:kern w:val="2"/>
          <w:szCs w:val="21"/>
        </w:rPr>
        <w:t>斜上和水平</w:t>
      </w:r>
      <w:r>
        <w:rPr>
          <w:rFonts w:hint="eastAsia" w:hAnsi="宋体" w:cs="宋体"/>
          <w:kern w:val="2"/>
          <w:szCs w:val="21"/>
        </w:rPr>
        <w:t>枝结果，长果枝占1/4</w:t>
      </w:r>
      <w:r>
        <w:rPr>
          <w:rFonts w:hAnsi="宋体" w:cs="宋体"/>
          <w:kern w:val="2"/>
          <w:szCs w:val="21"/>
        </w:rPr>
        <w:t>～</w:t>
      </w:r>
      <w:r>
        <w:rPr>
          <w:rFonts w:hint="eastAsia" w:hAnsi="宋体" w:cs="宋体"/>
          <w:kern w:val="2"/>
          <w:szCs w:val="21"/>
        </w:rPr>
        <w:t>1/3</w:t>
      </w:r>
      <w:r>
        <w:rPr>
          <w:rFonts w:hint="eastAsia" w:hAnsi="宋体" w:cs="宋体"/>
          <w:kern w:val="2"/>
          <w:szCs w:val="21"/>
          <w:lang w:eastAsia="zh-CN"/>
        </w:rPr>
        <w:t>。</w:t>
      </w:r>
    </w:p>
    <w:p>
      <w:pPr>
        <w:pStyle w:val="76"/>
        <w:bidi w:val="0"/>
      </w:pPr>
      <w:r>
        <w:t>夏剪</w:t>
      </w:r>
    </w:p>
    <w:p>
      <w:pPr>
        <w:pStyle w:val="32"/>
        <w:rPr>
          <w:rFonts w:hint="eastAsia" w:eastAsia="宋体"/>
          <w:lang w:eastAsia="zh-CN"/>
        </w:rPr>
      </w:pPr>
      <w:r>
        <w:rPr>
          <w:rFonts w:hint="eastAsia"/>
        </w:rPr>
        <w:t>及时抹除剪、锯口附近或主干上萌发的无效枝芽；疏</w:t>
      </w:r>
      <w:r>
        <w:t>除</w:t>
      </w:r>
      <w:r>
        <w:rPr>
          <w:rFonts w:hint="eastAsia"/>
        </w:rPr>
        <w:t>树冠内堂和主、侧枝上的强旺枝、过密枝和</w:t>
      </w:r>
      <w:r>
        <w:t>弱枝</w:t>
      </w:r>
      <w:r>
        <w:rPr>
          <w:rFonts w:hint="eastAsia"/>
        </w:rPr>
        <w:t>；对位置合适，适宜保留的直立枝进行扭伤、拉枝、短截或摘心，培养结果枝组；对生</w:t>
      </w:r>
      <w:r>
        <w:t>长势强</w:t>
      </w:r>
      <w:r>
        <w:rPr>
          <w:rFonts w:hint="eastAsia"/>
        </w:rPr>
        <w:t>旺的主、侧枝头，剪除主梢，保留副梢</w:t>
      </w:r>
      <w:r>
        <w:rPr>
          <w:rFonts w:hint="eastAsia"/>
          <w:lang w:eastAsia="zh-CN"/>
        </w:rPr>
        <w:t>。</w:t>
      </w:r>
    </w:p>
    <w:p>
      <w:pPr>
        <w:pStyle w:val="70"/>
        <w:spacing w:before="312" w:after="312"/>
      </w:pPr>
      <w:r>
        <w:t>生长季管理</w:t>
      </w:r>
    </w:p>
    <w:p>
      <w:pPr>
        <w:pStyle w:val="67"/>
        <w:spacing w:before="156" w:after="156"/>
      </w:pPr>
      <w:r>
        <w:t>水分管理</w:t>
      </w:r>
    </w:p>
    <w:p>
      <w:pPr>
        <w:pStyle w:val="71"/>
        <w:spacing w:before="156" w:after="156"/>
        <w:rPr>
          <w:rFonts w:ascii="Calibri" w:hAnsi="Calibri"/>
        </w:rPr>
      </w:pPr>
      <w:r>
        <w:rPr>
          <w:rFonts w:ascii="Calibri" w:hAnsi="Calibri"/>
        </w:rPr>
        <w:t>灌溉方法</w:t>
      </w:r>
    </w:p>
    <w:p>
      <w:pPr>
        <w:pStyle w:val="32"/>
        <w:rPr>
          <w:rFonts w:hAnsi="宋体" w:cs="宋体"/>
          <w:kern w:val="2"/>
          <w:szCs w:val="21"/>
        </w:rPr>
      </w:pPr>
      <w:r>
        <w:rPr>
          <w:rFonts w:hint="eastAsia" w:hAnsi="宋体" w:cs="宋体"/>
          <w:kern w:val="2"/>
          <w:szCs w:val="21"/>
        </w:rPr>
        <w:t>生长季采用沟灌、小管出流或滴灌等节水方式，</w:t>
      </w:r>
      <w:r>
        <w:rPr>
          <w:rFonts w:hAnsi="宋体" w:cs="宋体"/>
          <w:kern w:val="2"/>
          <w:szCs w:val="21"/>
        </w:rPr>
        <w:t>灌水渗透深度0.</w:t>
      </w:r>
      <w:r>
        <w:rPr>
          <w:rFonts w:hint="eastAsia" w:ascii="宋体" w:hAnsi="宋体" w:eastAsia="宋体" w:cs="Times New Roman"/>
          <w:color w:val="auto"/>
          <w:spacing w:val="60"/>
          <w:kern w:val="24"/>
        </w:rPr>
        <w:t>5</w:t>
      </w:r>
      <w:r>
        <w:rPr>
          <w:rFonts w:hAnsi="宋体" w:cs="宋体"/>
          <w:kern w:val="2"/>
          <w:szCs w:val="21"/>
        </w:rPr>
        <w:t>m～0.</w:t>
      </w:r>
      <w:r>
        <w:rPr>
          <w:rFonts w:hint="eastAsia" w:ascii="宋体" w:hAnsi="宋体" w:eastAsia="宋体" w:cs="Times New Roman"/>
          <w:color w:val="auto"/>
          <w:spacing w:val="60"/>
          <w:kern w:val="24"/>
        </w:rPr>
        <w:t>8</w:t>
      </w:r>
      <w:r>
        <w:rPr>
          <w:rFonts w:hAnsi="宋体" w:cs="宋体"/>
          <w:kern w:val="2"/>
          <w:szCs w:val="21"/>
        </w:rPr>
        <w:t>m。</w:t>
      </w:r>
      <w:r>
        <w:rPr>
          <w:rFonts w:hint="eastAsia" w:hAnsi="宋体" w:cs="宋体"/>
          <w:kern w:val="2"/>
          <w:szCs w:val="21"/>
        </w:rPr>
        <w:t>花前水和</w:t>
      </w:r>
      <w:r>
        <w:rPr>
          <w:rFonts w:hAnsi="宋体" w:cs="宋体"/>
          <w:kern w:val="2"/>
          <w:szCs w:val="21"/>
        </w:rPr>
        <w:t>封冻水</w:t>
      </w:r>
      <w:r>
        <w:rPr>
          <w:rFonts w:hint="eastAsia" w:hAnsi="宋体" w:cs="宋体"/>
          <w:kern w:val="2"/>
          <w:szCs w:val="21"/>
        </w:rPr>
        <w:t>全面浇透。</w:t>
      </w:r>
      <w:r>
        <w:rPr>
          <w:rFonts w:hAnsi="宋体" w:cs="宋体"/>
          <w:kern w:val="2"/>
          <w:szCs w:val="21"/>
        </w:rPr>
        <w:t>花芽分化前</w:t>
      </w:r>
      <w:r>
        <w:rPr>
          <w:rFonts w:hint="eastAsia" w:hAnsi="宋体" w:cs="宋体"/>
          <w:kern w:val="2"/>
          <w:szCs w:val="21"/>
        </w:rPr>
        <w:t>和</w:t>
      </w:r>
      <w:r>
        <w:rPr>
          <w:rFonts w:hAnsi="宋体" w:cs="宋体"/>
          <w:kern w:val="2"/>
          <w:szCs w:val="21"/>
        </w:rPr>
        <w:t>果实</w:t>
      </w:r>
      <w:r>
        <w:rPr>
          <w:rFonts w:hint="eastAsia" w:hAnsi="宋体" w:cs="宋体"/>
          <w:kern w:val="2"/>
          <w:szCs w:val="21"/>
        </w:rPr>
        <w:t>采收前3</w:t>
      </w:r>
      <w:r>
        <w:rPr>
          <w:rFonts w:hint="eastAsia" w:ascii="宋体" w:hAnsi="宋体" w:eastAsia="宋体" w:cs="Times New Roman"/>
          <w:color w:val="auto"/>
          <w:spacing w:val="60"/>
          <w:kern w:val="24"/>
        </w:rPr>
        <w:t>0</w:t>
      </w:r>
      <w:r>
        <w:rPr>
          <w:rFonts w:hint="eastAsia" w:hAnsi="宋体" w:cs="宋体"/>
          <w:kern w:val="2"/>
          <w:szCs w:val="21"/>
        </w:rPr>
        <w:t>d内</w:t>
      </w:r>
      <w:r>
        <w:rPr>
          <w:rFonts w:hAnsi="宋体" w:cs="宋体"/>
          <w:kern w:val="2"/>
          <w:szCs w:val="21"/>
        </w:rPr>
        <w:t>控制</w:t>
      </w:r>
      <w:r>
        <w:rPr>
          <w:rFonts w:hint="eastAsia" w:hAnsi="宋体" w:cs="宋体"/>
          <w:kern w:val="2"/>
          <w:szCs w:val="21"/>
        </w:rPr>
        <w:t>浇</w:t>
      </w:r>
      <w:r>
        <w:rPr>
          <w:rFonts w:hAnsi="宋体" w:cs="宋体"/>
          <w:kern w:val="2"/>
          <w:szCs w:val="21"/>
        </w:rPr>
        <w:t>水。</w:t>
      </w:r>
    </w:p>
    <w:p>
      <w:pPr>
        <w:pStyle w:val="71"/>
        <w:spacing w:before="156" w:after="156"/>
        <w:rPr>
          <w:rFonts w:ascii="Calibri" w:hAnsi="Calibri"/>
        </w:rPr>
      </w:pPr>
      <w:r>
        <w:rPr>
          <w:rFonts w:ascii="Calibri" w:hAnsi="Calibri"/>
        </w:rPr>
        <w:t>灌溉时间</w:t>
      </w:r>
    </w:p>
    <w:p>
      <w:pPr>
        <w:pStyle w:val="32"/>
        <w:rPr>
          <w:rFonts w:hAnsi="宋体" w:cs="宋体"/>
          <w:kern w:val="2"/>
          <w:szCs w:val="21"/>
        </w:rPr>
      </w:pPr>
      <w:r>
        <w:rPr>
          <w:rFonts w:hAnsi="宋体" w:cs="宋体"/>
          <w:kern w:val="2"/>
          <w:szCs w:val="21"/>
        </w:rPr>
        <w:t>根据</w:t>
      </w:r>
      <w:r>
        <w:rPr>
          <w:rFonts w:hint="eastAsia" w:hAnsi="宋体" w:cs="宋体"/>
          <w:kern w:val="2"/>
          <w:szCs w:val="21"/>
        </w:rPr>
        <w:t>土壤</w:t>
      </w:r>
      <w:r>
        <w:rPr>
          <w:rFonts w:hAnsi="宋体" w:cs="宋体"/>
          <w:kern w:val="2"/>
          <w:szCs w:val="21"/>
        </w:rPr>
        <w:t>田间持水量情况确定</w:t>
      </w:r>
      <w:r>
        <w:rPr>
          <w:rFonts w:hint="eastAsia" w:hAnsi="宋体" w:cs="宋体"/>
          <w:kern w:val="2"/>
          <w:szCs w:val="21"/>
        </w:rPr>
        <w:t>。在开花萌芽前和花后1</w:t>
      </w:r>
      <w:r>
        <w:rPr>
          <w:rFonts w:hint="eastAsia" w:ascii="宋体" w:hAnsi="宋体" w:eastAsia="宋体" w:cs="Times New Roman"/>
          <w:color w:val="auto"/>
          <w:spacing w:val="60"/>
          <w:kern w:val="24"/>
        </w:rPr>
        <w:t>5</w:t>
      </w:r>
      <w:r>
        <w:rPr>
          <w:rFonts w:hint="eastAsia" w:hAnsi="宋体" w:cs="宋体"/>
          <w:kern w:val="2"/>
          <w:szCs w:val="21"/>
        </w:rPr>
        <w:t>d至生理落果期，当</w:t>
      </w:r>
      <w:r>
        <w:rPr>
          <w:rFonts w:hAnsi="宋体" w:cs="宋体"/>
          <w:kern w:val="2"/>
          <w:szCs w:val="21"/>
        </w:rPr>
        <w:t>土壤含水量低于</w:t>
      </w:r>
      <w:r>
        <w:rPr>
          <w:rFonts w:hint="eastAsia" w:hAnsi="宋体" w:cs="宋体"/>
          <w:kern w:val="2"/>
          <w:szCs w:val="21"/>
        </w:rPr>
        <w:t>4</w:t>
      </w:r>
      <w:r>
        <w:rPr>
          <w:rFonts w:hint="eastAsia" w:ascii="宋体" w:hAnsi="宋体" w:eastAsia="宋体" w:cs="Times New Roman"/>
          <w:color w:val="auto"/>
          <w:spacing w:val="60"/>
          <w:kern w:val="24"/>
        </w:rPr>
        <w:t>0</w:t>
      </w:r>
      <w:r>
        <w:rPr>
          <w:rFonts w:hint="eastAsia" w:hAnsi="宋体" w:cs="宋体"/>
          <w:kern w:val="2"/>
          <w:szCs w:val="21"/>
        </w:rPr>
        <w:t>%</w:t>
      </w:r>
      <w:r>
        <w:rPr>
          <w:rFonts w:hAnsi="宋体" w:cs="宋体"/>
          <w:kern w:val="2"/>
          <w:szCs w:val="21"/>
        </w:rPr>
        <w:t>时灌水</w:t>
      </w:r>
      <w:r>
        <w:rPr>
          <w:rFonts w:hint="eastAsia" w:hAnsi="宋体" w:cs="宋体"/>
          <w:kern w:val="2"/>
          <w:szCs w:val="21"/>
        </w:rPr>
        <w:t>；果实迅速生长期至采收前3</w:t>
      </w:r>
      <w:r>
        <w:rPr>
          <w:rFonts w:hint="eastAsia" w:ascii="宋体" w:hAnsi="宋体" w:eastAsia="宋体" w:cs="Times New Roman"/>
          <w:color w:val="auto"/>
          <w:spacing w:val="60"/>
          <w:kern w:val="24"/>
        </w:rPr>
        <w:t>0</w:t>
      </w:r>
      <w:r>
        <w:rPr>
          <w:rFonts w:hint="eastAsia" w:hAnsi="宋体" w:cs="宋体"/>
          <w:kern w:val="2"/>
          <w:szCs w:val="21"/>
        </w:rPr>
        <w:t>d</w:t>
      </w:r>
      <w:r>
        <w:rPr>
          <w:rFonts w:hAnsi="宋体" w:cs="宋体"/>
          <w:kern w:val="2"/>
          <w:szCs w:val="21"/>
        </w:rPr>
        <w:t>，当土壤含水量低于6</w:t>
      </w:r>
      <w:r>
        <w:rPr>
          <w:rFonts w:hint="eastAsia" w:ascii="宋体" w:hAnsi="宋体" w:eastAsia="宋体" w:cs="Times New Roman"/>
          <w:color w:val="auto"/>
          <w:spacing w:val="60"/>
          <w:kern w:val="24"/>
        </w:rPr>
        <w:t>0</w:t>
      </w:r>
      <w:r>
        <w:rPr>
          <w:rFonts w:hAnsi="宋体" w:cs="宋体"/>
          <w:kern w:val="2"/>
          <w:szCs w:val="21"/>
        </w:rPr>
        <w:t>%时灌水。落叶至土壤封冻</w:t>
      </w:r>
      <w:r>
        <w:rPr>
          <w:rFonts w:hint="eastAsia" w:hAnsi="宋体" w:cs="宋体"/>
          <w:kern w:val="2"/>
          <w:szCs w:val="21"/>
        </w:rPr>
        <w:t>前浇透封</w:t>
      </w:r>
      <w:r>
        <w:rPr>
          <w:rFonts w:hAnsi="宋体" w:cs="宋体"/>
          <w:kern w:val="2"/>
          <w:szCs w:val="21"/>
        </w:rPr>
        <w:t>冻水。</w:t>
      </w:r>
    </w:p>
    <w:p>
      <w:pPr>
        <w:pStyle w:val="71"/>
        <w:spacing w:before="156" w:after="156"/>
        <w:rPr>
          <w:rFonts w:ascii="Calibri" w:hAnsi="Calibri"/>
        </w:rPr>
      </w:pPr>
      <w:r>
        <w:rPr>
          <w:rFonts w:ascii="Calibri" w:hAnsi="Calibri"/>
        </w:rPr>
        <w:t>排水</w:t>
      </w:r>
    </w:p>
    <w:p>
      <w:pPr>
        <w:pStyle w:val="32"/>
        <w:rPr>
          <w:rFonts w:hAnsi="宋体" w:cs="宋体"/>
          <w:kern w:val="2"/>
          <w:szCs w:val="21"/>
        </w:rPr>
      </w:pPr>
      <w:r>
        <w:rPr>
          <w:rFonts w:hAnsi="宋体" w:cs="宋体"/>
          <w:kern w:val="2"/>
          <w:szCs w:val="21"/>
        </w:rPr>
        <w:t>雨季前要疏通桃园内外排水沟，保证桃园内5</w:t>
      </w:r>
      <w:r>
        <w:rPr>
          <w:rFonts w:hint="eastAsia" w:ascii="宋体" w:hAnsi="宋体" w:eastAsia="宋体" w:cs="Times New Roman"/>
          <w:color w:val="auto"/>
          <w:spacing w:val="60"/>
          <w:kern w:val="24"/>
        </w:rPr>
        <w:t>0</w:t>
      </w:r>
      <w:r>
        <w:rPr>
          <w:rFonts w:hAnsi="宋体" w:cs="宋体"/>
          <w:kern w:val="2"/>
          <w:szCs w:val="21"/>
        </w:rPr>
        <w:t>cm以上土层雨后积水不超过2</w:t>
      </w:r>
      <w:r>
        <w:rPr>
          <w:rFonts w:hint="eastAsia" w:ascii="宋体" w:hAnsi="宋体" w:eastAsia="宋体" w:cs="Times New Roman"/>
          <w:color w:val="auto"/>
          <w:spacing w:val="60"/>
          <w:kern w:val="24"/>
        </w:rPr>
        <w:t>4</w:t>
      </w:r>
      <w:r>
        <w:rPr>
          <w:rFonts w:hint="eastAsia" w:hAnsi="宋体" w:cs="宋体"/>
          <w:kern w:val="2"/>
          <w:szCs w:val="21"/>
          <w:lang w:val="en-US" w:eastAsia="zh-CN"/>
        </w:rPr>
        <w:t>h</w:t>
      </w:r>
      <w:r>
        <w:rPr>
          <w:rFonts w:hAnsi="宋体" w:cs="宋体"/>
          <w:kern w:val="2"/>
          <w:szCs w:val="21"/>
        </w:rPr>
        <w:t>。</w:t>
      </w:r>
    </w:p>
    <w:p>
      <w:pPr>
        <w:pStyle w:val="67"/>
        <w:spacing w:before="156" w:after="156"/>
      </w:pPr>
      <w:r>
        <w:t>土壤管理</w:t>
      </w:r>
    </w:p>
    <w:p>
      <w:pPr>
        <w:pStyle w:val="71"/>
        <w:spacing w:before="156" w:after="156"/>
        <w:rPr>
          <w:rFonts w:ascii="Calibri" w:hAnsi="Calibri"/>
        </w:rPr>
      </w:pPr>
      <w:r>
        <w:rPr>
          <w:rFonts w:ascii="Calibri" w:hAnsi="Calibri"/>
        </w:rPr>
        <w:t>生草覆草</w:t>
      </w:r>
    </w:p>
    <w:p>
      <w:pPr>
        <w:ind w:firstLine="420" w:firstLineChars="200"/>
        <w:rPr>
          <w:rFonts w:hint="eastAsia" w:ascii="宋体" w:hAnsi="宋体" w:eastAsia="宋体" w:cs="宋体"/>
          <w:szCs w:val="21"/>
        </w:rPr>
      </w:pPr>
      <w:r>
        <w:rPr>
          <w:rFonts w:hint="eastAsia" w:ascii="宋体" w:hAnsi="宋体" w:eastAsia="宋体" w:cs="宋体"/>
          <w:kern w:val="2"/>
          <w:sz w:val="21"/>
          <w:szCs w:val="24"/>
          <w:lang w:val="en-US" w:eastAsia="zh-CN" w:bidi="ar-SA"/>
        </w:rPr>
        <w:t>采用人工生草或自然生草。人工生草选择高羊茅、黑麦、二月兰、豆类等。草体生长高度达3</w:t>
      </w:r>
      <w:r>
        <w:rPr>
          <w:rFonts w:hint="eastAsia" w:ascii="宋体" w:hAnsi="宋体" w:eastAsia="宋体" w:cs="Times New Roman"/>
          <w:color w:val="auto"/>
          <w:spacing w:val="60"/>
          <w:kern w:val="24"/>
          <w:sz w:val="21"/>
          <w:szCs w:val="20"/>
          <w:lang w:val="en-US" w:eastAsia="zh-CN" w:bidi="ar-SA"/>
        </w:rPr>
        <w:t>0</w:t>
      </w:r>
      <w:r>
        <w:rPr>
          <w:rFonts w:hint="eastAsia" w:ascii="宋体" w:hAnsi="宋体" w:eastAsia="宋体" w:cs="宋体"/>
          <w:kern w:val="2"/>
          <w:sz w:val="21"/>
          <w:szCs w:val="24"/>
          <w:lang w:val="en-US" w:eastAsia="zh-CN" w:bidi="ar-SA"/>
        </w:rPr>
        <w:t>cm 左右时，刈割，把草铺于树盘内，留草高度为</w:t>
      </w:r>
      <w:r>
        <w:rPr>
          <w:rFonts w:hint="eastAsia" w:ascii="宋体" w:hAnsi="宋体" w:eastAsia="宋体" w:cs="Times New Roman"/>
          <w:color w:val="auto"/>
          <w:spacing w:val="60"/>
          <w:kern w:val="24"/>
          <w:sz w:val="21"/>
          <w:szCs w:val="20"/>
          <w:lang w:val="en-US" w:eastAsia="zh-CN" w:bidi="ar-SA"/>
        </w:rPr>
        <w:t>8</w:t>
      </w:r>
      <w:r>
        <w:rPr>
          <w:rFonts w:hint="eastAsia" w:ascii="宋体" w:hAnsi="宋体" w:eastAsia="宋体" w:cs="宋体"/>
          <w:kern w:val="2"/>
          <w:sz w:val="21"/>
          <w:szCs w:val="24"/>
          <w:lang w:val="en-US" w:eastAsia="zh-CN" w:bidi="ar-SA"/>
        </w:rPr>
        <w:t>cm～1</w:t>
      </w:r>
      <w:r>
        <w:rPr>
          <w:rFonts w:hint="eastAsia" w:ascii="宋体" w:hAnsi="宋体" w:eastAsia="宋体" w:cs="Times New Roman"/>
          <w:color w:val="auto"/>
          <w:spacing w:val="60"/>
          <w:kern w:val="24"/>
          <w:sz w:val="21"/>
          <w:szCs w:val="20"/>
          <w:lang w:val="en-US" w:eastAsia="zh-CN" w:bidi="ar-SA"/>
        </w:rPr>
        <w:t>0</w:t>
      </w:r>
      <w:r>
        <w:rPr>
          <w:rFonts w:hint="eastAsia" w:ascii="宋体" w:hAnsi="宋体" w:eastAsia="宋体" w:cs="宋体"/>
          <w:kern w:val="2"/>
          <w:sz w:val="21"/>
          <w:szCs w:val="24"/>
          <w:lang w:val="en-US" w:eastAsia="zh-CN" w:bidi="ar-SA"/>
        </w:rPr>
        <w:t>cm。</w:t>
      </w:r>
    </w:p>
    <w:p>
      <w:pPr>
        <w:pStyle w:val="71"/>
        <w:spacing w:before="156" w:after="156"/>
        <w:rPr>
          <w:rFonts w:ascii="Calibri" w:hAnsi="Calibri"/>
        </w:rPr>
      </w:pPr>
      <w:r>
        <w:rPr>
          <w:rFonts w:ascii="Calibri" w:hAnsi="Calibri"/>
        </w:rPr>
        <w:t>覆膜保墒</w:t>
      </w:r>
    </w:p>
    <w:p>
      <w:pPr>
        <w:ind w:firstLine="420" w:firstLineChars="200"/>
        <w:rPr>
          <w:rFonts w:ascii="宋体" w:hAnsi="宋体" w:cs="宋体"/>
          <w:szCs w:val="21"/>
        </w:rPr>
      </w:pPr>
      <w:r>
        <w:rPr>
          <w:rFonts w:ascii="宋体" w:hAnsi="宋体" w:cs="宋体"/>
          <w:szCs w:val="21"/>
        </w:rPr>
        <w:t>春季果树发芽前，施肥浇水后沿树行覆盖黑色地膜（或地布），树干每侧各1.</w:t>
      </w:r>
      <w:r>
        <w:rPr>
          <w:rFonts w:hint="eastAsia" w:ascii="宋体" w:hAnsi="宋体" w:eastAsia="宋体" w:cs="Times New Roman"/>
          <w:color w:val="auto"/>
          <w:spacing w:val="60"/>
          <w:kern w:val="24"/>
          <w:sz w:val="21"/>
          <w:szCs w:val="20"/>
          <w:lang w:val="en-US" w:eastAsia="zh-CN" w:bidi="ar-SA"/>
        </w:rPr>
        <w:t>0</w:t>
      </w:r>
      <w:r>
        <w:rPr>
          <w:rFonts w:ascii="宋体" w:hAnsi="宋体" w:cs="宋体"/>
          <w:szCs w:val="21"/>
        </w:rPr>
        <w:t>m宽。</w:t>
      </w:r>
    </w:p>
    <w:p>
      <w:pPr>
        <w:pStyle w:val="67"/>
        <w:spacing w:before="156" w:after="156"/>
      </w:pPr>
      <w:r>
        <w:t>施肥管理</w:t>
      </w:r>
    </w:p>
    <w:p>
      <w:pPr>
        <w:pStyle w:val="71"/>
        <w:spacing w:before="156" w:after="156"/>
        <w:rPr>
          <w:rFonts w:ascii="Calibri" w:hAnsi="Calibri"/>
        </w:rPr>
      </w:pPr>
      <w:r>
        <w:rPr>
          <w:rFonts w:hint="eastAsia" w:ascii="Calibri" w:hAnsi="Calibri"/>
        </w:rPr>
        <w:t>施肥原则</w:t>
      </w:r>
    </w:p>
    <w:p>
      <w:pPr>
        <w:pStyle w:val="32"/>
        <w:rPr>
          <w:rFonts w:hint="eastAsia" w:hAnsi="宋体" w:cs="宋体"/>
          <w:kern w:val="2"/>
          <w:szCs w:val="21"/>
        </w:rPr>
      </w:pPr>
      <w:r>
        <w:rPr>
          <w:rFonts w:hAnsi="宋体" w:cs="宋体"/>
          <w:kern w:val="2"/>
          <w:szCs w:val="21"/>
        </w:rPr>
        <w:t>以有机肥为主、化肥为辅，平衡施肥</w:t>
      </w:r>
      <w:r>
        <w:rPr>
          <w:rFonts w:hint="eastAsia" w:hAnsi="宋体" w:cs="宋体"/>
          <w:kern w:val="2"/>
          <w:szCs w:val="21"/>
        </w:rPr>
        <w:t>。推荐每生产优质桃100</w:t>
      </w:r>
      <w:r>
        <w:rPr>
          <w:rFonts w:hint="eastAsia" w:ascii="宋体" w:hAnsi="宋体" w:eastAsia="宋体" w:cs="Times New Roman"/>
          <w:color w:val="auto"/>
          <w:spacing w:val="60"/>
          <w:kern w:val="24"/>
        </w:rPr>
        <w:t>0</w:t>
      </w:r>
      <w:r>
        <w:rPr>
          <w:rFonts w:hint="eastAsia" w:hAnsi="宋体" w:cs="宋体"/>
          <w:kern w:val="2"/>
          <w:szCs w:val="21"/>
        </w:rPr>
        <w:t>kg，施用N 4.</w:t>
      </w:r>
      <w:r>
        <w:rPr>
          <w:rFonts w:hint="eastAsia" w:ascii="宋体" w:hAnsi="宋体" w:eastAsia="宋体" w:cs="Times New Roman"/>
          <w:color w:val="auto"/>
          <w:spacing w:val="60"/>
          <w:kern w:val="24"/>
        </w:rPr>
        <w:t>5</w:t>
      </w:r>
      <w:r>
        <w:rPr>
          <w:rFonts w:hint="eastAsia" w:hAnsi="宋体" w:cs="宋体"/>
          <w:kern w:val="2"/>
          <w:szCs w:val="21"/>
        </w:rPr>
        <w:t>kg～5.</w:t>
      </w:r>
      <w:r>
        <w:rPr>
          <w:rFonts w:hint="eastAsia" w:ascii="宋体" w:hAnsi="宋体" w:eastAsia="宋体" w:cs="Times New Roman"/>
          <w:color w:val="auto"/>
          <w:spacing w:val="60"/>
          <w:kern w:val="24"/>
        </w:rPr>
        <w:t>5</w:t>
      </w:r>
      <w:r>
        <w:rPr>
          <w:rFonts w:hint="eastAsia" w:hAnsi="宋体" w:cs="宋体"/>
          <w:kern w:val="2"/>
          <w:szCs w:val="21"/>
        </w:rPr>
        <w:t>kg，P</w:t>
      </w:r>
      <w:r>
        <w:rPr>
          <w:rFonts w:hint="eastAsia" w:hAnsi="宋体" w:cs="宋体"/>
          <w:kern w:val="2"/>
          <w:szCs w:val="21"/>
          <w:vertAlign w:val="subscript"/>
        </w:rPr>
        <w:t>2</w:t>
      </w:r>
      <w:r>
        <w:rPr>
          <w:rFonts w:hint="eastAsia" w:hAnsi="宋体" w:cs="宋体"/>
          <w:kern w:val="2"/>
          <w:szCs w:val="21"/>
        </w:rPr>
        <w:t>O</w:t>
      </w:r>
      <w:r>
        <w:rPr>
          <w:rFonts w:hint="eastAsia" w:hAnsi="宋体" w:cs="宋体"/>
          <w:kern w:val="2"/>
          <w:szCs w:val="21"/>
          <w:vertAlign w:val="subscript"/>
        </w:rPr>
        <w:t xml:space="preserve">5 </w:t>
      </w:r>
      <w:r>
        <w:rPr>
          <w:rFonts w:hint="eastAsia" w:hAnsi="宋体" w:cs="宋体"/>
          <w:kern w:val="2"/>
          <w:szCs w:val="21"/>
        </w:rPr>
        <w:t>6.</w:t>
      </w:r>
      <w:r>
        <w:rPr>
          <w:rFonts w:hint="eastAsia" w:ascii="宋体" w:hAnsi="宋体" w:eastAsia="宋体" w:cs="Times New Roman"/>
          <w:color w:val="auto"/>
          <w:spacing w:val="60"/>
          <w:kern w:val="24"/>
        </w:rPr>
        <w:t>0</w:t>
      </w:r>
      <w:r>
        <w:rPr>
          <w:rFonts w:hint="eastAsia" w:hAnsi="宋体" w:cs="宋体"/>
          <w:kern w:val="2"/>
          <w:szCs w:val="21"/>
        </w:rPr>
        <w:t>kg～7.</w:t>
      </w:r>
      <w:r>
        <w:rPr>
          <w:rFonts w:hint="eastAsia" w:ascii="宋体" w:hAnsi="宋体" w:eastAsia="宋体" w:cs="Times New Roman"/>
          <w:color w:val="auto"/>
          <w:spacing w:val="60"/>
          <w:kern w:val="24"/>
        </w:rPr>
        <w:t>5</w:t>
      </w:r>
      <w:r>
        <w:rPr>
          <w:rFonts w:hint="eastAsia" w:hAnsi="宋体" w:cs="宋体"/>
          <w:kern w:val="2"/>
          <w:szCs w:val="21"/>
        </w:rPr>
        <w:t>kg，K</w:t>
      </w:r>
      <w:r>
        <w:rPr>
          <w:rFonts w:hint="eastAsia" w:hAnsi="宋体" w:cs="宋体"/>
          <w:kern w:val="2"/>
          <w:szCs w:val="21"/>
          <w:vertAlign w:val="subscript"/>
        </w:rPr>
        <w:t>2</w:t>
      </w:r>
      <w:r>
        <w:rPr>
          <w:rFonts w:hint="eastAsia" w:hAnsi="宋体" w:cs="宋体"/>
          <w:kern w:val="2"/>
          <w:szCs w:val="21"/>
        </w:rPr>
        <w:t>O 14.</w:t>
      </w:r>
      <w:r>
        <w:rPr>
          <w:rFonts w:hint="eastAsia" w:ascii="宋体" w:hAnsi="宋体" w:eastAsia="宋体" w:cs="Times New Roman"/>
          <w:color w:val="auto"/>
          <w:spacing w:val="60"/>
          <w:kern w:val="24"/>
        </w:rPr>
        <w:t>5</w:t>
      </w:r>
      <w:r>
        <w:rPr>
          <w:rFonts w:hint="eastAsia" w:hAnsi="宋体" w:cs="宋体"/>
          <w:kern w:val="2"/>
          <w:szCs w:val="21"/>
        </w:rPr>
        <w:t>kg～18.</w:t>
      </w:r>
      <w:r>
        <w:rPr>
          <w:rFonts w:hint="eastAsia" w:ascii="宋体" w:hAnsi="宋体" w:eastAsia="宋体" w:cs="Times New Roman"/>
          <w:color w:val="auto"/>
          <w:spacing w:val="60"/>
          <w:kern w:val="24"/>
        </w:rPr>
        <w:t>0</w:t>
      </w:r>
      <w:r>
        <w:rPr>
          <w:rFonts w:hint="eastAsia" w:hAnsi="宋体" w:cs="宋体"/>
          <w:kern w:val="2"/>
          <w:szCs w:val="21"/>
        </w:rPr>
        <w:t>kg。其中3</w:t>
      </w:r>
      <w:r>
        <w:rPr>
          <w:rFonts w:hint="eastAsia" w:ascii="宋体" w:hAnsi="宋体" w:eastAsia="宋体" w:cs="Times New Roman"/>
          <w:color w:val="auto"/>
          <w:spacing w:val="60"/>
          <w:kern w:val="24"/>
        </w:rPr>
        <w:t>0</w:t>
      </w:r>
      <w:r>
        <w:rPr>
          <w:rFonts w:hint="eastAsia" w:hAnsi="宋体" w:cs="宋体"/>
          <w:kern w:val="2"/>
          <w:szCs w:val="21"/>
        </w:rPr>
        <w:t>%～4</w:t>
      </w:r>
      <w:r>
        <w:rPr>
          <w:rFonts w:hint="eastAsia" w:ascii="宋体" w:hAnsi="宋体" w:eastAsia="宋体" w:cs="Times New Roman"/>
          <w:color w:val="auto"/>
          <w:spacing w:val="60"/>
          <w:kern w:val="24"/>
        </w:rPr>
        <w:t>0</w:t>
      </w:r>
      <w:r>
        <w:rPr>
          <w:rFonts w:hint="eastAsia" w:hAnsi="宋体" w:cs="宋体"/>
          <w:kern w:val="2"/>
          <w:szCs w:val="21"/>
        </w:rPr>
        <w:t>%的N，8</w:t>
      </w:r>
      <w:r>
        <w:rPr>
          <w:rFonts w:hint="eastAsia" w:ascii="宋体" w:hAnsi="宋体" w:eastAsia="宋体" w:cs="Times New Roman"/>
          <w:color w:val="auto"/>
          <w:spacing w:val="60"/>
          <w:kern w:val="24"/>
        </w:rPr>
        <w:t>0</w:t>
      </w:r>
      <w:r>
        <w:rPr>
          <w:rFonts w:hint="eastAsia" w:hAnsi="宋体" w:cs="宋体"/>
          <w:kern w:val="2"/>
          <w:szCs w:val="21"/>
        </w:rPr>
        <w:t>%的P</w:t>
      </w:r>
      <w:r>
        <w:rPr>
          <w:rFonts w:hint="eastAsia" w:hAnsi="宋体" w:cs="宋体"/>
          <w:kern w:val="2"/>
          <w:szCs w:val="21"/>
          <w:vertAlign w:val="subscript"/>
        </w:rPr>
        <w:t>2</w:t>
      </w:r>
      <w:r>
        <w:rPr>
          <w:rFonts w:hint="eastAsia" w:hAnsi="宋体" w:cs="宋体"/>
          <w:kern w:val="2"/>
          <w:szCs w:val="21"/>
        </w:rPr>
        <w:t>O</w:t>
      </w:r>
      <w:r>
        <w:rPr>
          <w:rFonts w:hint="eastAsia" w:hAnsi="宋体" w:cs="宋体"/>
          <w:kern w:val="2"/>
          <w:szCs w:val="21"/>
          <w:vertAlign w:val="subscript"/>
        </w:rPr>
        <w:t xml:space="preserve">5 </w:t>
      </w:r>
      <w:r>
        <w:rPr>
          <w:rFonts w:hint="eastAsia" w:hAnsi="宋体" w:cs="宋体"/>
          <w:kern w:val="2"/>
          <w:szCs w:val="21"/>
        </w:rPr>
        <w:t>，5</w:t>
      </w:r>
      <w:r>
        <w:rPr>
          <w:rFonts w:hint="eastAsia" w:ascii="宋体" w:hAnsi="宋体" w:eastAsia="宋体" w:cs="Times New Roman"/>
          <w:color w:val="auto"/>
          <w:spacing w:val="60"/>
          <w:kern w:val="24"/>
        </w:rPr>
        <w:t>0</w:t>
      </w:r>
      <w:r>
        <w:rPr>
          <w:rFonts w:hint="eastAsia" w:hAnsi="宋体" w:cs="宋体"/>
          <w:kern w:val="2"/>
          <w:szCs w:val="21"/>
        </w:rPr>
        <w:t>%的K</w:t>
      </w:r>
      <w:r>
        <w:rPr>
          <w:rFonts w:hint="eastAsia" w:hAnsi="宋体" w:cs="宋体"/>
          <w:kern w:val="2"/>
          <w:szCs w:val="21"/>
          <w:vertAlign w:val="subscript"/>
        </w:rPr>
        <w:t>2</w:t>
      </w:r>
      <w:r>
        <w:rPr>
          <w:rFonts w:hint="eastAsia" w:hAnsi="宋体" w:cs="宋体"/>
          <w:kern w:val="2"/>
          <w:szCs w:val="21"/>
        </w:rPr>
        <w:t>O用作基肥，其余用作追肥。</w:t>
      </w:r>
    </w:p>
    <w:p>
      <w:pPr>
        <w:pStyle w:val="71"/>
        <w:spacing w:before="156" w:after="156"/>
        <w:rPr>
          <w:rFonts w:hint="eastAsia" w:ascii="Calibri" w:hAnsi="Calibri"/>
        </w:rPr>
      </w:pPr>
      <w:r>
        <w:rPr>
          <w:rFonts w:hint="eastAsia" w:ascii="Calibri" w:hAnsi="Calibri"/>
        </w:rPr>
        <w:t>施肥方法</w:t>
      </w:r>
    </w:p>
    <w:p>
      <w:pPr>
        <w:pStyle w:val="32"/>
        <w:rPr>
          <w:rFonts w:hint="eastAsia" w:hAnsi="宋体" w:cs="宋体"/>
          <w:kern w:val="2"/>
          <w:szCs w:val="21"/>
        </w:rPr>
      </w:pPr>
      <w:r>
        <w:rPr>
          <w:rFonts w:hint="eastAsia" w:hAnsi="宋体" w:cs="宋体"/>
          <w:kern w:val="2"/>
          <w:szCs w:val="21"/>
        </w:rPr>
        <w:t>化肥</w:t>
      </w:r>
      <w:r>
        <w:rPr>
          <w:rFonts w:hAnsi="宋体" w:cs="宋体"/>
          <w:kern w:val="2"/>
          <w:szCs w:val="21"/>
        </w:rPr>
        <w:t>沟施</w:t>
      </w:r>
      <w:r>
        <w:rPr>
          <w:rFonts w:hint="eastAsia" w:hAnsi="宋体" w:cs="宋体"/>
          <w:kern w:val="2"/>
          <w:szCs w:val="21"/>
        </w:rPr>
        <w:t>，在</w:t>
      </w:r>
      <w:r>
        <w:rPr>
          <w:rFonts w:hAnsi="宋体" w:cs="宋体"/>
          <w:kern w:val="2"/>
          <w:szCs w:val="21"/>
        </w:rPr>
        <w:t>树冠投影</w:t>
      </w:r>
      <w:r>
        <w:rPr>
          <w:rFonts w:hint="eastAsia" w:hAnsi="宋体" w:cs="宋体"/>
          <w:kern w:val="2"/>
          <w:szCs w:val="21"/>
        </w:rPr>
        <w:t>范围</w:t>
      </w:r>
      <w:r>
        <w:rPr>
          <w:rFonts w:hAnsi="宋体" w:cs="宋体"/>
          <w:kern w:val="2"/>
          <w:szCs w:val="21"/>
        </w:rPr>
        <w:t>内</w:t>
      </w:r>
      <w:r>
        <w:rPr>
          <w:rFonts w:hint="eastAsia" w:hAnsi="宋体" w:cs="宋体"/>
          <w:kern w:val="2"/>
          <w:szCs w:val="21"/>
        </w:rPr>
        <w:t>均匀挖条状沟或放射状沟</w:t>
      </w:r>
      <w:r>
        <w:rPr>
          <w:rFonts w:hAnsi="宋体" w:cs="宋体"/>
          <w:kern w:val="2"/>
          <w:szCs w:val="21"/>
        </w:rPr>
        <w:t>3～4</w:t>
      </w:r>
      <w:r>
        <w:rPr>
          <w:rFonts w:hint="eastAsia" w:hAnsi="宋体" w:cs="宋体"/>
          <w:kern w:val="2"/>
          <w:szCs w:val="21"/>
        </w:rPr>
        <w:t>条，</w:t>
      </w:r>
      <w:r>
        <w:rPr>
          <w:rFonts w:hAnsi="宋体" w:cs="宋体"/>
          <w:kern w:val="2"/>
          <w:szCs w:val="21"/>
        </w:rPr>
        <w:t>深度2</w:t>
      </w:r>
      <w:r>
        <w:rPr>
          <w:rFonts w:hint="eastAsia" w:ascii="宋体" w:hAnsi="宋体" w:eastAsia="宋体" w:cs="Times New Roman"/>
          <w:color w:val="auto"/>
          <w:spacing w:val="60"/>
          <w:kern w:val="24"/>
        </w:rPr>
        <w:t>0</w:t>
      </w:r>
      <w:r>
        <w:rPr>
          <w:rFonts w:hAnsi="宋体" w:cs="宋体"/>
          <w:kern w:val="2"/>
          <w:szCs w:val="21"/>
        </w:rPr>
        <w:t>cm～</w:t>
      </w:r>
      <w:r>
        <w:rPr>
          <w:rFonts w:hint="eastAsia" w:hAnsi="宋体" w:cs="宋体"/>
          <w:kern w:val="2"/>
          <w:szCs w:val="21"/>
        </w:rPr>
        <w:t>4</w:t>
      </w:r>
      <w:r>
        <w:rPr>
          <w:rFonts w:hint="eastAsia" w:ascii="宋体" w:hAnsi="宋体" w:eastAsia="宋体" w:cs="Times New Roman"/>
          <w:color w:val="auto"/>
          <w:spacing w:val="60"/>
          <w:kern w:val="24"/>
        </w:rPr>
        <w:t>0</w:t>
      </w:r>
      <w:r>
        <w:rPr>
          <w:rFonts w:hAnsi="宋体" w:cs="宋体"/>
          <w:kern w:val="2"/>
          <w:szCs w:val="21"/>
        </w:rPr>
        <w:t>cm</w:t>
      </w:r>
      <w:r>
        <w:rPr>
          <w:rFonts w:hint="eastAsia" w:hAnsi="宋体" w:cs="宋体"/>
          <w:kern w:val="2"/>
          <w:szCs w:val="21"/>
        </w:rPr>
        <w:t>，</w:t>
      </w:r>
      <w:r>
        <w:rPr>
          <w:rFonts w:hAnsi="宋体" w:cs="宋体"/>
          <w:kern w:val="2"/>
          <w:szCs w:val="21"/>
        </w:rPr>
        <w:t>将</w:t>
      </w:r>
      <w:r>
        <w:rPr>
          <w:rFonts w:hint="eastAsia" w:hAnsi="宋体" w:cs="宋体"/>
          <w:kern w:val="2"/>
          <w:szCs w:val="21"/>
        </w:rPr>
        <w:t>肥料</w:t>
      </w:r>
      <w:r>
        <w:rPr>
          <w:rFonts w:hAnsi="宋体" w:cs="宋体"/>
          <w:kern w:val="2"/>
          <w:szCs w:val="21"/>
        </w:rPr>
        <w:t>与土壤混合施入</w:t>
      </w:r>
      <w:r>
        <w:rPr>
          <w:rFonts w:hint="eastAsia" w:hAnsi="宋体" w:cs="宋体"/>
          <w:kern w:val="2"/>
          <w:szCs w:val="21"/>
        </w:rPr>
        <w:t>，挖沟时</w:t>
      </w:r>
      <w:r>
        <w:rPr>
          <w:rFonts w:hAnsi="宋体" w:cs="宋体"/>
          <w:kern w:val="2"/>
          <w:szCs w:val="21"/>
        </w:rPr>
        <w:t>避免伤大根</w:t>
      </w:r>
      <w:r>
        <w:rPr>
          <w:rFonts w:hint="eastAsia" w:hAnsi="宋体" w:cs="宋体"/>
          <w:kern w:val="2"/>
          <w:szCs w:val="21"/>
        </w:rPr>
        <w:t>，</w:t>
      </w:r>
      <w:r>
        <w:rPr>
          <w:rFonts w:hAnsi="宋体" w:cs="宋体"/>
          <w:kern w:val="2"/>
          <w:szCs w:val="21"/>
        </w:rPr>
        <w:t>每年轮换施肥位置。不同肥料追肥深度应当有所差异，氮肥可浅施；钾肥、复合肥适当深施；磷肥、钙肥最好与有机肥混施</w:t>
      </w:r>
      <w:r>
        <w:rPr>
          <w:rFonts w:hint="eastAsia" w:hAnsi="宋体" w:cs="宋体"/>
          <w:kern w:val="2"/>
          <w:szCs w:val="21"/>
        </w:rPr>
        <w:t>。基肥可撒施或</w:t>
      </w:r>
      <w:r>
        <w:rPr>
          <w:rFonts w:hAnsi="宋体" w:cs="宋体"/>
          <w:kern w:val="2"/>
          <w:szCs w:val="21"/>
        </w:rPr>
        <w:t>沟施</w:t>
      </w:r>
      <w:r>
        <w:rPr>
          <w:rFonts w:hint="eastAsia" w:hAnsi="宋体" w:cs="宋体"/>
          <w:kern w:val="2"/>
          <w:szCs w:val="21"/>
        </w:rPr>
        <w:t>。</w:t>
      </w:r>
      <w:r>
        <w:rPr>
          <w:rFonts w:hAnsi="宋体" w:cs="宋体"/>
          <w:kern w:val="2"/>
          <w:szCs w:val="21"/>
        </w:rPr>
        <w:t>干旱或土壤湿度较小时结合</w:t>
      </w:r>
      <w:r>
        <w:rPr>
          <w:rFonts w:hint="eastAsia" w:hAnsi="宋体" w:cs="宋体"/>
          <w:kern w:val="2"/>
          <w:szCs w:val="21"/>
        </w:rPr>
        <w:t>浇</w:t>
      </w:r>
      <w:r>
        <w:rPr>
          <w:rFonts w:hAnsi="宋体" w:cs="宋体"/>
          <w:kern w:val="2"/>
          <w:szCs w:val="21"/>
        </w:rPr>
        <w:t>水</w:t>
      </w:r>
      <w:r>
        <w:rPr>
          <w:rFonts w:hint="eastAsia" w:hAnsi="宋体" w:cs="宋体"/>
          <w:kern w:val="2"/>
          <w:szCs w:val="21"/>
        </w:rPr>
        <w:t>施肥</w:t>
      </w:r>
      <w:r>
        <w:rPr>
          <w:rFonts w:hAnsi="宋体" w:cs="宋体"/>
          <w:kern w:val="2"/>
          <w:szCs w:val="21"/>
        </w:rPr>
        <w:t>。</w:t>
      </w:r>
    </w:p>
    <w:p>
      <w:pPr>
        <w:pStyle w:val="71"/>
        <w:spacing w:before="156" w:after="156"/>
        <w:rPr>
          <w:rFonts w:ascii="Calibri" w:hAnsi="Calibri"/>
        </w:rPr>
      </w:pPr>
      <w:r>
        <w:rPr>
          <w:rFonts w:ascii="Calibri" w:hAnsi="Calibri"/>
        </w:rPr>
        <w:t>基肥</w:t>
      </w:r>
    </w:p>
    <w:p>
      <w:pPr>
        <w:pStyle w:val="32"/>
        <w:rPr>
          <w:rFonts w:hAnsi="宋体" w:cs="宋体"/>
          <w:kern w:val="2"/>
          <w:szCs w:val="21"/>
        </w:rPr>
      </w:pPr>
      <w:r>
        <w:rPr>
          <w:rFonts w:hint="eastAsia" w:hAnsi="宋体" w:cs="宋体"/>
          <w:kern w:val="2"/>
          <w:szCs w:val="21"/>
        </w:rPr>
        <w:t>果实采收后至落叶前施用，早熟品种7</w:t>
      </w:r>
      <w:r>
        <w:rPr>
          <w:rFonts w:hAnsi="宋体" w:cs="宋体"/>
          <w:kern w:val="2"/>
          <w:szCs w:val="21"/>
        </w:rPr>
        <w:t>～</w:t>
      </w:r>
      <w:r>
        <w:rPr>
          <w:rFonts w:hint="eastAsia" w:hAnsi="宋体" w:cs="宋体"/>
          <w:kern w:val="2"/>
          <w:szCs w:val="21"/>
        </w:rPr>
        <w:t>8月份施用。以施入腐熟的农家肥或商品有机肥为主，混施钙镁磷肥3</w:t>
      </w:r>
      <w:r>
        <w:rPr>
          <w:rFonts w:hint="eastAsia" w:ascii="宋体" w:hAnsi="宋体" w:eastAsia="宋体" w:cs="Times New Roman"/>
          <w:color w:val="auto"/>
          <w:spacing w:val="60"/>
          <w:kern w:val="24"/>
        </w:rPr>
        <w:t>5</w:t>
      </w:r>
      <w:r>
        <w:rPr>
          <w:rFonts w:hAnsi="宋体" w:cs="宋体"/>
          <w:kern w:val="2"/>
          <w:szCs w:val="21"/>
        </w:rPr>
        <w:t>kg</w:t>
      </w:r>
      <w:r>
        <w:rPr>
          <w:rFonts w:hint="eastAsia" w:hAnsi="宋体" w:cs="宋体"/>
          <w:kern w:val="2"/>
          <w:szCs w:val="21"/>
        </w:rPr>
        <w:t>/亩</w:t>
      </w:r>
      <w:r>
        <w:rPr>
          <w:rFonts w:hAnsi="宋体" w:cs="宋体"/>
          <w:kern w:val="2"/>
          <w:szCs w:val="21"/>
        </w:rPr>
        <w:t>～</w:t>
      </w:r>
      <w:r>
        <w:rPr>
          <w:rFonts w:hint="eastAsia" w:hAnsi="宋体" w:cs="宋体"/>
          <w:kern w:val="2"/>
          <w:szCs w:val="21"/>
        </w:rPr>
        <w:t>5</w:t>
      </w:r>
      <w:r>
        <w:rPr>
          <w:rFonts w:hint="eastAsia" w:ascii="宋体" w:hAnsi="宋体" w:eastAsia="宋体" w:cs="Times New Roman"/>
          <w:color w:val="auto"/>
          <w:spacing w:val="60"/>
          <w:kern w:val="24"/>
        </w:rPr>
        <w:t>0</w:t>
      </w:r>
      <w:r>
        <w:rPr>
          <w:rFonts w:hAnsi="宋体" w:cs="宋体"/>
          <w:kern w:val="2"/>
          <w:szCs w:val="21"/>
        </w:rPr>
        <w:t>kg</w:t>
      </w:r>
      <w:r>
        <w:rPr>
          <w:rFonts w:hint="eastAsia" w:hAnsi="宋体" w:cs="宋体"/>
          <w:kern w:val="2"/>
          <w:szCs w:val="21"/>
        </w:rPr>
        <w:t>/亩。</w:t>
      </w:r>
    </w:p>
    <w:p>
      <w:pPr>
        <w:pStyle w:val="71"/>
        <w:spacing w:before="156" w:after="156"/>
        <w:rPr>
          <w:rFonts w:ascii="Calibri" w:hAnsi="Calibri" w:eastAsia="仿宋" w:cs="仿宋"/>
        </w:rPr>
      </w:pPr>
      <w:r>
        <w:rPr>
          <w:rFonts w:ascii="Calibri" w:hAnsi="Calibri"/>
        </w:rPr>
        <w:t>追肥</w:t>
      </w:r>
    </w:p>
    <w:p>
      <w:pPr>
        <w:pStyle w:val="32"/>
        <w:rPr>
          <w:rFonts w:hint="eastAsia" w:hAnsi="宋体" w:cs="宋体"/>
          <w:kern w:val="2"/>
          <w:szCs w:val="21"/>
        </w:rPr>
      </w:pPr>
      <w:r>
        <w:rPr>
          <w:rFonts w:hAnsi="宋体" w:cs="宋体"/>
          <w:kern w:val="2"/>
          <w:szCs w:val="21"/>
        </w:rPr>
        <w:t>一般成年树每年追肥2～4次</w:t>
      </w:r>
      <w:r>
        <w:rPr>
          <w:rFonts w:hint="eastAsia" w:hAnsi="宋体" w:cs="宋体"/>
          <w:kern w:val="2"/>
          <w:szCs w:val="21"/>
        </w:rPr>
        <w:t>，花前肥以氮肥为主，约占年施肥量的2</w:t>
      </w:r>
      <w:r>
        <w:rPr>
          <w:rFonts w:hint="eastAsia" w:ascii="宋体" w:hAnsi="宋体" w:eastAsia="宋体" w:cs="Times New Roman"/>
          <w:color w:val="auto"/>
          <w:spacing w:val="60"/>
          <w:kern w:val="24"/>
        </w:rPr>
        <w:t>0</w:t>
      </w:r>
      <w:r>
        <w:rPr>
          <w:rFonts w:hint="eastAsia" w:hAnsi="宋体" w:cs="宋体"/>
          <w:kern w:val="2"/>
          <w:szCs w:val="21"/>
        </w:rPr>
        <w:t>%，如果基肥施用量较大，又加入氮磷钾复合肥，只施用氮肥即可。花后肥以氮肥为主，配施少量磷钾肥，约占年施肥量的2</w:t>
      </w:r>
      <w:r>
        <w:rPr>
          <w:rFonts w:hint="eastAsia" w:ascii="宋体" w:hAnsi="宋体" w:eastAsia="宋体" w:cs="Times New Roman"/>
          <w:color w:val="auto"/>
          <w:spacing w:val="60"/>
          <w:kern w:val="24"/>
        </w:rPr>
        <w:t>0</w:t>
      </w:r>
      <w:r>
        <w:rPr>
          <w:rFonts w:hint="eastAsia" w:hAnsi="宋体" w:cs="宋体"/>
          <w:kern w:val="2"/>
          <w:szCs w:val="21"/>
        </w:rPr>
        <w:t>%，对极早熟、早熟品种要增施磷钾肥（N：P</w:t>
      </w:r>
      <w:r>
        <w:rPr>
          <w:rFonts w:hint="eastAsia" w:hAnsi="宋体" w:cs="宋体"/>
          <w:kern w:val="2"/>
          <w:szCs w:val="21"/>
          <w:vertAlign w:val="subscript"/>
        </w:rPr>
        <w:t>2</w:t>
      </w:r>
      <w:r>
        <w:rPr>
          <w:rFonts w:hint="eastAsia" w:hAnsi="宋体" w:cs="宋体"/>
          <w:kern w:val="2"/>
          <w:szCs w:val="21"/>
        </w:rPr>
        <w:t>O</w:t>
      </w:r>
      <w:r>
        <w:rPr>
          <w:rFonts w:hint="eastAsia" w:hAnsi="宋体" w:cs="宋体"/>
          <w:kern w:val="2"/>
          <w:szCs w:val="21"/>
          <w:vertAlign w:val="subscript"/>
        </w:rPr>
        <w:t>5</w:t>
      </w:r>
      <w:r>
        <w:rPr>
          <w:rFonts w:hint="eastAsia" w:hAnsi="宋体" w:cs="宋体"/>
          <w:kern w:val="2"/>
          <w:szCs w:val="21"/>
        </w:rPr>
        <w:t>；K</w:t>
      </w:r>
      <w:r>
        <w:rPr>
          <w:rFonts w:hint="eastAsia" w:hAnsi="宋体" w:cs="宋体"/>
          <w:kern w:val="2"/>
          <w:szCs w:val="21"/>
          <w:vertAlign w:val="subscript"/>
        </w:rPr>
        <w:t>2</w:t>
      </w:r>
      <w:r>
        <w:rPr>
          <w:rFonts w:hint="eastAsia" w:hAnsi="宋体" w:cs="宋体"/>
          <w:kern w:val="2"/>
          <w:szCs w:val="21"/>
        </w:rPr>
        <w:t>O=1：1：1），时间提前在花后30天施入。催果肥在硬核后果实再次快速生长时施入，以钾肥为主，适当配施磷肥，约占年施肥量的2</w:t>
      </w:r>
      <w:r>
        <w:rPr>
          <w:rFonts w:hint="eastAsia" w:ascii="宋体" w:hAnsi="宋体" w:eastAsia="宋体" w:cs="Times New Roman"/>
          <w:color w:val="auto"/>
          <w:spacing w:val="60"/>
          <w:kern w:val="24"/>
        </w:rPr>
        <w:t>0</w:t>
      </w:r>
      <w:r>
        <w:rPr>
          <w:rFonts w:hint="eastAsia" w:hAnsi="宋体" w:cs="宋体"/>
          <w:kern w:val="2"/>
          <w:szCs w:val="21"/>
        </w:rPr>
        <w:t>%～3</w:t>
      </w:r>
      <w:r>
        <w:rPr>
          <w:rFonts w:hint="eastAsia" w:ascii="宋体" w:hAnsi="宋体" w:eastAsia="宋体" w:cs="Times New Roman"/>
          <w:color w:val="auto"/>
          <w:spacing w:val="60"/>
          <w:kern w:val="24"/>
        </w:rPr>
        <w:t>0</w:t>
      </w:r>
      <w:r>
        <w:rPr>
          <w:rFonts w:hint="eastAsia" w:hAnsi="宋体" w:cs="宋体"/>
          <w:kern w:val="2"/>
          <w:szCs w:val="21"/>
        </w:rPr>
        <w:t>%，配施含P</w:t>
      </w:r>
      <w:r>
        <w:rPr>
          <w:rFonts w:hint="eastAsia" w:hAnsi="宋体" w:cs="宋体"/>
          <w:kern w:val="2"/>
          <w:szCs w:val="21"/>
          <w:vertAlign w:val="subscript"/>
        </w:rPr>
        <w:t>2</w:t>
      </w:r>
      <w:r>
        <w:rPr>
          <w:rFonts w:hint="eastAsia" w:hAnsi="宋体" w:cs="宋体"/>
          <w:kern w:val="2"/>
          <w:szCs w:val="21"/>
        </w:rPr>
        <w:t>O</w:t>
      </w:r>
      <w:r>
        <w:rPr>
          <w:rFonts w:hint="eastAsia" w:hAnsi="宋体" w:cs="宋体"/>
          <w:kern w:val="2"/>
          <w:szCs w:val="21"/>
          <w:vertAlign w:val="subscript"/>
        </w:rPr>
        <w:t>5</w:t>
      </w:r>
      <w:r>
        <w:rPr>
          <w:rFonts w:hint="eastAsia" w:hAnsi="宋体" w:cs="宋体"/>
          <w:kern w:val="2"/>
          <w:szCs w:val="21"/>
        </w:rPr>
        <w:t>1</w:t>
      </w:r>
      <w:r>
        <w:rPr>
          <w:rFonts w:hint="eastAsia" w:ascii="宋体" w:hAnsi="宋体" w:eastAsia="宋体" w:cs="Times New Roman"/>
          <w:color w:val="auto"/>
          <w:spacing w:val="60"/>
          <w:kern w:val="24"/>
        </w:rPr>
        <w:t>4</w:t>
      </w:r>
      <w:r>
        <w:rPr>
          <w:rFonts w:hint="eastAsia" w:hAnsi="宋体" w:cs="宋体"/>
          <w:kern w:val="2"/>
          <w:szCs w:val="21"/>
        </w:rPr>
        <w:t>%～1</w:t>
      </w:r>
      <w:r>
        <w:rPr>
          <w:rFonts w:hint="eastAsia" w:ascii="宋体" w:hAnsi="宋体" w:eastAsia="宋体" w:cs="Times New Roman"/>
          <w:color w:val="auto"/>
          <w:spacing w:val="60"/>
          <w:kern w:val="24"/>
        </w:rPr>
        <w:t>6</w:t>
      </w:r>
      <w:r>
        <w:rPr>
          <w:rFonts w:hint="eastAsia" w:hAnsi="宋体" w:cs="宋体"/>
          <w:kern w:val="2"/>
          <w:szCs w:val="21"/>
        </w:rPr>
        <w:t>%的过磷酸钙8.</w:t>
      </w:r>
      <w:r>
        <w:rPr>
          <w:rFonts w:hint="eastAsia" w:ascii="宋体" w:hAnsi="宋体" w:eastAsia="宋体" w:cs="Times New Roman"/>
          <w:color w:val="auto"/>
          <w:spacing w:val="60"/>
          <w:kern w:val="24"/>
        </w:rPr>
        <w:t>5</w:t>
      </w:r>
      <w:r>
        <w:rPr>
          <w:rFonts w:hint="eastAsia" w:hAnsi="宋体" w:cs="宋体"/>
          <w:kern w:val="2"/>
          <w:szCs w:val="21"/>
        </w:rPr>
        <w:t>kg～11.</w:t>
      </w:r>
      <w:r>
        <w:rPr>
          <w:rFonts w:hint="eastAsia" w:ascii="宋体" w:hAnsi="宋体" w:eastAsia="宋体" w:cs="Times New Roman"/>
          <w:color w:val="auto"/>
          <w:spacing w:val="60"/>
          <w:kern w:val="24"/>
        </w:rPr>
        <w:t>5</w:t>
      </w:r>
      <w:r>
        <w:rPr>
          <w:rFonts w:hint="eastAsia" w:hAnsi="宋体" w:cs="宋体"/>
          <w:kern w:val="2"/>
          <w:szCs w:val="21"/>
        </w:rPr>
        <w:t>kg。</w:t>
      </w:r>
    </w:p>
    <w:p>
      <w:pPr>
        <w:pStyle w:val="71"/>
        <w:spacing w:before="156" w:after="156"/>
        <w:rPr>
          <w:rFonts w:ascii="Calibri" w:hAnsi="Calibri"/>
        </w:rPr>
      </w:pPr>
      <w:r>
        <w:rPr>
          <w:rFonts w:ascii="Calibri" w:hAnsi="Calibri"/>
        </w:rPr>
        <w:t>根外追肥</w:t>
      </w:r>
    </w:p>
    <w:p>
      <w:pPr>
        <w:pStyle w:val="32"/>
        <w:rPr>
          <w:rFonts w:hAnsi="宋体" w:cs="宋体"/>
          <w:kern w:val="2"/>
          <w:szCs w:val="21"/>
        </w:rPr>
      </w:pPr>
      <w:r>
        <w:rPr>
          <w:rFonts w:hAnsi="宋体" w:cs="宋体"/>
          <w:kern w:val="2"/>
          <w:szCs w:val="21"/>
        </w:rPr>
        <w:t>花后至采收前</w:t>
      </w:r>
      <w:r>
        <w:rPr>
          <w:rFonts w:hint="eastAsia" w:hAnsi="宋体" w:cs="宋体"/>
          <w:kern w:val="2"/>
          <w:szCs w:val="21"/>
        </w:rPr>
        <w:t>叶面喷施</w:t>
      </w:r>
      <w:r>
        <w:rPr>
          <w:rFonts w:hAnsi="宋体" w:cs="宋体"/>
          <w:kern w:val="2"/>
          <w:szCs w:val="21"/>
        </w:rPr>
        <w:t>0.</w:t>
      </w:r>
      <w:r>
        <w:rPr>
          <w:rFonts w:hint="eastAsia" w:ascii="宋体" w:hAnsi="宋体" w:eastAsia="宋体" w:cs="Times New Roman"/>
          <w:color w:val="auto"/>
          <w:spacing w:val="60"/>
          <w:kern w:val="24"/>
        </w:rPr>
        <w:t>3</w:t>
      </w:r>
      <w:r>
        <w:rPr>
          <w:rFonts w:hAnsi="宋体" w:cs="宋体"/>
          <w:kern w:val="2"/>
          <w:szCs w:val="21"/>
        </w:rPr>
        <w:t>%</w:t>
      </w:r>
      <w:r>
        <w:rPr>
          <w:rFonts w:hint="eastAsia" w:hAnsi="宋体" w:cs="宋体"/>
          <w:kern w:val="2"/>
          <w:szCs w:val="21"/>
        </w:rPr>
        <w:t>～</w:t>
      </w:r>
      <w:r>
        <w:rPr>
          <w:rFonts w:hAnsi="宋体" w:cs="宋体"/>
          <w:kern w:val="2"/>
          <w:szCs w:val="21"/>
        </w:rPr>
        <w:t>0.</w:t>
      </w:r>
      <w:r>
        <w:rPr>
          <w:rFonts w:hint="eastAsia" w:ascii="宋体" w:hAnsi="宋体" w:eastAsia="宋体" w:cs="Times New Roman"/>
          <w:color w:val="auto"/>
          <w:spacing w:val="60"/>
          <w:kern w:val="24"/>
        </w:rPr>
        <w:t>5</w:t>
      </w:r>
      <w:r>
        <w:rPr>
          <w:rFonts w:hAnsi="宋体" w:cs="宋体"/>
          <w:kern w:val="2"/>
          <w:szCs w:val="21"/>
        </w:rPr>
        <w:t>%</w:t>
      </w:r>
      <w:r>
        <w:rPr>
          <w:rFonts w:hint="eastAsia" w:hAnsi="宋体" w:cs="宋体"/>
          <w:kern w:val="2"/>
          <w:szCs w:val="21"/>
        </w:rPr>
        <w:t>的</w:t>
      </w:r>
      <w:r>
        <w:rPr>
          <w:rFonts w:hAnsi="宋体" w:cs="宋体"/>
          <w:kern w:val="2"/>
          <w:szCs w:val="21"/>
        </w:rPr>
        <w:t>尿素</w:t>
      </w:r>
      <w:r>
        <w:rPr>
          <w:rFonts w:hint="eastAsia" w:hAnsi="宋体" w:cs="宋体"/>
          <w:kern w:val="2"/>
          <w:szCs w:val="21"/>
        </w:rPr>
        <w:t>和</w:t>
      </w:r>
      <w:r>
        <w:rPr>
          <w:rFonts w:hAnsi="宋体" w:cs="宋体"/>
          <w:kern w:val="2"/>
          <w:szCs w:val="21"/>
        </w:rPr>
        <w:t>0.</w:t>
      </w:r>
      <w:r>
        <w:rPr>
          <w:rFonts w:hint="eastAsia" w:ascii="宋体" w:hAnsi="宋体" w:eastAsia="宋体" w:cs="Times New Roman"/>
          <w:color w:val="auto"/>
          <w:spacing w:val="60"/>
          <w:kern w:val="24"/>
        </w:rPr>
        <w:t>2</w:t>
      </w:r>
      <w:r>
        <w:rPr>
          <w:rFonts w:hAnsi="宋体" w:cs="宋体"/>
          <w:kern w:val="2"/>
          <w:szCs w:val="21"/>
        </w:rPr>
        <w:t>%</w:t>
      </w:r>
      <w:r>
        <w:rPr>
          <w:rFonts w:hint="eastAsia" w:hAnsi="宋体" w:cs="宋体"/>
          <w:kern w:val="2"/>
          <w:szCs w:val="21"/>
        </w:rPr>
        <w:t>～</w:t>
      </w:r>
      <w:r>
        <w:rPr>
          <w:rFonts w:hAnsi="宋体" w:cs="宋体"/>
          <w:kern w:val="2"/>
          <w:szCs w:val="21"/>
        </w:rPr>
        <w:t>0.</w:t>
      </w:r>
      <w:r>
        <w:rPr>
          <w:rFonts w:hint="eastAsia" w:ascii="宋体" w:hAnsi="宋体" w:eastAsia="宋体" w:cs="Times New Roman"/>
          <w:color w:val="auto"/>
          <w:spacing w:val="60"/>
          <w:kern w:val="24"/>
        </w:rPr>
        <w:t>3</w:t>
      </w:r>
      <w:r>
        <w:rPr>
          <w:rFonts w:hAnsi="宋体" w:cs="宋体"/>
          <w:kern w:val="2"/>
          <w:szCs w:val="21"/>
        </w:rPr>
        <w:t>%</w:t>
      </w:r>
      <w:r>
        <w:rPr>
          <w:rFonts w:hint="eastAsia" w:hAnsi="宋体" w:cs="宋体"/>
          <w:kern w:val="2"/>
          <w:szCs w:val="21"/>
        </w:rPr>
        <w:t>的</w:t>
      </w:r>
      <w:r>
        <w:rPr>
          <w:rFonts w:hAnsi="宋体" w:cs="宋体"/>
          <w:kern w:val="2"/>
          <w:szCs w:val="21"/>
        </w:rPr>
        <w:t>磷酸二氢钾2</w:t>
      </w:r>
      <w:r>
        <w:rPr>
          <w:rFonts w:hint="eastAsia" w:hAnsi="宋体" w:cs="宋体"/>
          <w:kern w:val="2"/>
          <w:szCs w:val="21"/>
        </w:rPr>
        <w:t>～</w:t>
      </w:r>
      <w:r>
        <w:rPr>
          <w:rFonts w:hAnsi="宋体" w:cs="宋体"/>
          <w:kern w:val="2"/>
          <w:szCs w:val="21"/>
        </w:rPr>
        <w:t>4次；落花前后</w:t>
      </w:r>
      <w:r>
        <w:rPr>
          <w:rFonts w:hint="eastAsia" w:hAnsi="宋体" w:cs="宋体"/>
          <w:kern w:val="2"/>
          <w:szCs w:val="21"/>
        </w:rPr>
        <w:t>喷施</w:t>
      </w:r>
      <w:r>
        <w:rPr>
          <w:rFonts w:hAnsi="宋体" w:cs="宋体"/>
          <w:kern w:val="2"/>
          <w:szCs w:val="21"/>
        </w:rPr>
        <w:t>0.</w:t>
      </w:r>
      <w:r>
        <w:rPr>
          <w:rFonts w:hint="eastAsia" w:ascii="宋体" w:hAnsi="宋体" w:eastAsia="宋体" w:cs="Times New Roman"/>
          <w:color w:val="auto"/>
          <w:spacing w:val="60"/>
          <w:kern w:val="24"/>
        </w:rPr>
        <w:t>2</w:t>
      </w:r>
      <w:r>
        <w:rPr>
          <w:rFonts w:hAnsi="宋体" w:cs="宋体"/>
          <w:kern w:val="2"/>
          <w:szCs w:val="21"/>
        </w:rPr>
        <w:t>%</w:t>
      </w:r>
      <w:r>
        <w:rPr>
          <w:rFonts w:hint="eastAsia" w:hAnsi="宋体" w:cs="宋体"/>
          <w:kern w:val="2"/>
          <w:szCs w:val="21"/>
        </w:rPr>
        <w:t>～</w:t>
      </w:r>
      <w:r>
        <w:rPr>
          <w:rFonts w:hAnsi="宋体" w:cs="宋体"/>
          <w:kern w:val="2"/>
          <w:szCs w:val="21"/>
        </w:rPr>
        <w:t>0.</w:t>
      </w:r>
      <w:r>
        <w:rPr>
          <w:rFonts w:hint="eastAsia" w:ascii="宋体" w:hAnsi="宋体" w:eastAsia="宋体" w:cs="Times New Roman"/>
          <w:color w:val="auto"/>
          <w:spacing w:val="60"/>
          <w:kern w:val="24"/>
        </w:rPr>
        <w:t>4</w:t>
      </w:r>
      <w:r>
        <w:rPr>
          <w:rFonts w:hint="eastAsia" w:hAnsi="宋体" w:cs="宋体"/>
          <w:kern w:val="2"/>
          <w:szCs w:val="21"/>
        </w:rPr>
        <w:t>%</w:t>
      </w:r>
      <w:r>
        <w:rPr>
          <w:rFonts w:hAnsi="宋体" w:cs="宋体"/>
          <w:kern w:val="2"/>
          <w:szCs w:val="21"/>
        </w:rPr>
        <w:t>硼砂</w:t>
      </w:r>
      <w:r>
        <w:rPr>
          <w:rFonts w:hint="eastAsia" w:hAnsi="宋体" w:cs="宋体"/>
          <w:kern w:val="2"/>
          <w:szCs w:val="21"/>
        </w:rPr>
        <w:t>1～2次</w:t>
      </w:r>
      <w:r>
        <w:rPr>
          <w:rFonts w:hAnsi="宋体" w:cs="宋体"/>
          <w:kern w:val="2"/>
          <w:szCs w:val="21"/>
        </w:rPr>
        <w:t>。</w:t>
      </w:r>
    </w:p>
    <w:p>
      <w:pPr>
        <w:pStyle w:val="67"/>
        <w:spacing w:before="156" w:after="156"/>
      </w:pPr>
      <w:r>
        <w:t>花果管理</w:t>
      </w:r>
    </w:p>
    <w:p>
      <w:pPr>
        <w:pStyle w:val="71"/>
        <w:spacing w:before="156" w:after="156"/>
        <w:rPr>
          <w:rFonts w:ascii="Calibri" w:hAnsi="Calibri"/>
        </w:rPr>
      </w:pPr>
      <w:r>
        <w:rPr>
          <w:rFonts w:ascii="Calibri" w:hAnsi="Calibri"/>
        </w:rPr>
        <w:t>辅助授粉</w:t>
      </w:r>
    </w:p>
    <w:p>
      <w:pPr>
        <w:pStyle w:val="32"/>
        <w:rPr>
          <w:rFonts w:hAnsi="宋体" w:cs="宋体"/>
          <w:kern w:val="2"/>
          <w:szCs w:val="21"/>
        </w:rPr>
      </w:pPr>
      <w:r>
        <w:rPr>
          <w:rFonts w:hint="eastAsia" w:hAnsi="宋体" w:cs="宋体"/>
          <w:kern w:val="2"/>
          <w:szCs w:val="21"/>
        </w:rPr>
        <w:t>可采用花期</w:t>
      </w:r>
      <w:r>
        <w:rPr>
          <w:rFonts w:hAnsi="宋体" w:cs="宋体"/>
          <w:kern w:val="2"/>
          <w:szCs w:val="21"/>
        </w:rPr>
        <w:t>放蜂</w:t>
      </w:r>
      <w:r>
        <w:rPr>
          <w:rFonts w:hint="eastAsia" w:hAnsi="宋体" w:cs="宋体"/>
          <w:kern w:val="2"/>
          <w:szCs w:val="21"/>
        </w:rPr>
        <w:t>或</w:t>
      </w:r>
      <w:r>
        <w:rPr>
          <w:rFonts w:hAnsi="宋体" w:cs="宋体"/>
          <w:kern w:val="2"/>
          <w:szCs w:val="21"/>
        </w:rPr>
        <w:t>人工</w:t>
      </w:r>
      <w:r>
        <w:rPr>
          <w:rFonts w:hint="eastAsia" w:hAnsi="宋体" w:cs="宋体"/>
          <w:kern w:val="2"/>
          <w:szCs w:val="21"/>
        </w:rPr>
        <w:t>辅助</w:t>
      </w:r>
      <w:r>
        <w:rPr>
          <w:rFonts w:hAnsi="宋体" w:cs="宋体"/>
          <w:kern w:val="2"/>
          <w:szCs w:val="21"/>
        </w:rPr>
        <w:t>授粉</w:t>
      </w:r>
      <w:r>
        <w:rPr>
          <w:rFonts w:hint="eastAsia" w:hAnsi="宋体" w:cs="宋体"/>
          <w:kern w:val="2"/>
          <w:szCs w:val="21"/>
        </w:rPr>
        <w:t>方式。</w:t>
      </w:r>
      <w:r>
        <w:rPr>
          <w:rFonts w:hAnsi="宋体" w:cs="宋体"/>
          <w:kern w:val="2"/>
          <w:szCs w:val="21"/>
        </w:rPr>
        <w:t>人工授粉方法包点授</w:t>
      </w:r>
      <w:r>
        <w:rPr>
          <w:rFonts w:hint="eastAsia" w:hAnsi="宋体" w:cs="宋体"/>
          <w:kern w:val="2"/>
          <w:szCs w:val="21"/>
        </w:rPr>
        <w:t>和喷雾，应在晴天进行，天气不良时应重复授粉。喷雾</w:t>
      </w:r>
      <w:r>
        <w:rPr>
          <w:rFonts w:hAnsi="宋体" w:cs="宋体"/>
          <w:kern w:val="2"/>
          <w:szCs w:val="21"/>
        </w:rPr>
        <w:t>授粉</w:t>
      </w:r>
      <w:r>
        <w:rPr>
          <w:rFonts w:hint="eastAsia" w:hAnsi="宋体" w:cs="宋体"/>
          <w:kern w:val="2"/>
          <w:szCs w:val="21"/>
        </w:rPr>
        <w:t>花粉溶液的配置方法是花粉：蔗糖：蒸馏水=1：37.5：250</w:t>
      </w:r>
      <w:r>
        <w:rPr>
          <w:rFonts w:hAnsi="宋体" w:cs="宋体"/>
          <w:kern w:val="2"/>
          <w:szCs w:val="21"/>
        </w:rPr>
        <w:t>。</w:t>
      </w:r>
    </w:p>
    <w:p>
      <w:pPr>
        <w:pStyle w:val="71"/>
        <w:spacing w:before="156" w:after="156"/>
        <w:rPr>
          <w:rFonts w:ascii="Calibri" w:hAnsi="Calibri"/>
        </w:rPr>
      </w:pPr>
      <w:r>
        <w:rPr>
          <w:rFonts w:ascii="Calibri" w:hAnsi="Calibri"/>
        </w:rPr>
        <w:t>疏</w:t>
      </w:r>
      <w:r>
        <w:rPr>
          <w:rFonts w:hint="eastAsia" w:ascii="Calibri" w:hAnsi="Calibri"/>
        </w:rPr>
        <w:t>花</w:t>
      </w:r>
    </w:p>
    <w:p>
      <w:pPr>
        <w:pStyle w:val="32"/>
        <w:rPr>
          <w:rFonts w:hAnsi="宋体" w:cs="宋体"/>
          <w:kern w:val="2"/>
          <w:szCs w:val="21"/>
        </w:rPr>
      </w:pPr>
      <w:r>
        <w:rPr>
          <w:rFonts w:hint="eastAsia" w:hAnsi="宋体" w:cs="宋体"/>
          <w:kern w:val="2"/>
          <w:szCs w:val="21"/>
        </w:rPr>
        <w:t>花蕾期进行。疏去枝条基部1/3区域内的花蕾，保留枝条中上部的花蕾。根据花芽数量，一般</w:t>
      </w:r>
      <w:r>
        <w:rPr>
          <w:rFonts w:hAnsi="宋体" w:cs="宋体"/>
          <w:kern w:val="2"/>
          <w:szCs w:val="21"/>
        </w:rPr>
        <w:t>疏掉花芽总量的</w:t>
      </w:r>
      <w:r>
        <w:rPr>
          <w:rFonts w:hint="eastAsia" w:hAnsi="宋体" w:cs="宋体"/>
          <w:kern w:val="2"/>
          <w:szCs w:val="21"/>
        </w:rPr>
        <w:t>4</w:t>
      </w:r>
      <w:r>
        <w:rPr>
          <w:rFonts w:hint="eastAsia" w:ascii="宋体" w:hAnsi="宋体" w:eastAsia="宋体" w:cs="Times New Roman"/>
          <w:color w:val="auto"/>
          <w:spacing w:val="60"/>
          <w:kern w:val="24"/>
        </w:rPr>
        <w:t>0</w:t>
      </w:r>
      <w:r>
        <w:rPr>
          <w:rFonts w:hint="eastAsia" w:hAnsi="宋体" w:cs="宋体"/>
          <w:kern w:val="2"/>
          <w:szCs w:val="21"/>
        </w:rPr>
        <w:t>%</w:t>
      </w:r>
      <w:r>
        <w:rPr>
          <w:rFonts w:hAnsi="宋体" w:cs="宋体"/>
          <w:kern w:val="2"/>
          <w:szCs w:val="21"/>
        </w:rPr>
        <w:t>～6</w:t>
      </w:r>
      <w:r>
        <w:rPr>
          <w:rFonts w:hint="eastAsia" w:ascii="宋体" w:hAnsi="宋体" w:eastAsia="宋体" w:cs="Times New Roman"/>
          <w:color w:val="auto"/>
          <w:spacing w:val="60"/>
          <w:kern w:val="24"/>
        </w:rPr>
        <w:t>0</w:t>
      </w:r>
      <w:r>
        <w:rPr>
          <w:rFonts w:hAnsi="宋体" w:cs="宋体"/>
          <w:kern w:val="2"/>
          <w:szCs w:val="21"/>
        </w:rPr>
        <w:t>%。</w:t>
      </w:r>
    </w:p>
    <w:p>
      <w:pPr>
        <w:pStyle w:val="71"/>
        <w:spacing w:before="156" w:after="156"/>
        <w:rPr>
          <w:rFonts w:ascii="Calibri" w:hAnsi="Calibri"/>
        </w:rPr>
      </w:pPr>
      <w:r>
        <w:rPr>
          <w:rFonts w:ascii="Calibri" w:hAnsi="Calibri"/>
        </w:rPr>
        <w:t>疏果</w:t>
      </w:r>
    </w:p>
    <w:p>
      <w:pPr>
        <w:pStyle w:val="32"/>
        <w:rPr>
          <w:rFonts w:hint="eastAsia" w:hAnsi="宋体" w:cs="宋体"/>
          <w:kern w:val="2"/>
          <w:szCs w:val="21"/>
        </w:rPr>
      </w:pPr>
      <w:r>
        <w:rPr>
          <w:rFonts w:hAnsi="宋体" w:cs="宋体"/>
          <w:kern w:val="2"/>
          <w:szCs w:val="21"/>
        </w:rPr>
        <w:t>疏果从谢花后</w:t>
      </w:r>
      <w:r>
        <w:rPr>
          <w:rFonts w:hint="eastAsia" w:hAnsi="宋体" w:cs="宋体"/>
          <w:kern w:val="2"/>
          <w:szCs w:val="21"/>
        </w:rPr>
        <w:t>1</w:t>
      </w:r>
      <w:r>
        <w:rPr>
          <w:rFonts w:hint="eastAsia" w:ascii="宋体" w:hAnsi="宋体" w:eastAsia="宋体" w:cs="Times New Roman"/>
          <w:color w:val="auto"/>
          <w:spacing w:val="60"/>
          <w:kern w:val="24"/>
        </w:rPr>
        <w:t>4</w:t>
      </w:r>
      <w:r>
        <w:rPr>
          <w:rFonts w:hint="eastAsia" w:hAnsi="宋体" w:cs="宋体"/>
          <w:kern w:val="2"/>
          <w:szCs w:val="21"/>
        </w:rPr>
        <w:t>d</w:t>
      </w:r>
      <w:r>
        <w:rPr>
          <w:rFonts w:hAnsi="宋体" w:cs="宋体"/>
          <w:kern w:val="2"/>
          <w:szCs w:val="21"/>
        </w:rPr>
        <w:t>开始，先疏早熟品种和坐果率高的品种，后疏其他品种。</w:t>
      </w:r>
      <w:r>
        <w:rPr>
          <w:rFonts w:hint="eastAsia" w:hAnsi="宋体" w:cs="宋体"/>
          <w:kern w:val="2"/>
          <w:szCs w:val="21"/>
        </w:rPr>
        <w:t>一般</w:t>
      </w:r>
      <w:r>
        <w:rPr>
          <w:rFonts w:hAnsi="宋体" w:cs="宋体"/>
          <w:kern w:val="2"/>
          <w:szCs w:val="21"/>
        </w:rPr>
        <w:t>长果枝留果2～3个，中果枝留2个，短果枝</w:t>
      </w:r>
      <w:r>
        <w:rPr>
          <w:rFonts w:hint="eastAsia" w:hAnsi="宋体" w:cs="宋体"/>
          <w:kern w:val="2"/>
          <w:szCs w:val="21"/>
        </w:rPr>
        <w:t>和</w:t>
      </w:r>
      <w:r>
        <w:rPr>
          <w:rFonts w:hAnsi="宋体" w:cs="宋体"/>
          <w:kern w:val="2"/>
          <w:szCs w:val="21"/>
        </w:rPr>
        <w:t>花束状枝留1个</w:t>
      </w:r>
      <w:r>
        <w:rPr>
          <w:rFonts w:hint="eastAsia" w:hAnsi="宋体" w:cs="宋体"/>
          <w:kern w:val="2"/>
          <w:szCs w:val="21"/>
        </w:rPr>
        <w:t>。</w:t>
      </w:r>
    </w:p>
    <w:p>
      <w:pPr>
        <w:pStyle w:val="71"/>
        <w:spacing w:before="156" w:after="156"/>
        <w:rPr>
          <w:rFonts w:hint="eastAsia" w:ascii="Calibri" w:hAnsi="Calibri"/>
        </w:rPr>
      </w:pPr>
      <w:r>
        <w:rPr>
          <w:rFonts w:hint="eastAsia" w:ascii="Calibri" w:hAnsi="Calibri"/>
        </w:rPr>
        <w:t>定产</w:t>
      </w:r>
    </w:p>
    <w:p>
      <w:pPr>
        <w:pStyle w:val="32"/>
        <w:rPr>
          <w:rFonts w:hint="eastAsia" w:hAnsi="宋体" w:cs="宋体"/>
          <w:kern w:val="2"/>
          <w:szCs w:val="21"/>
        </w:rPr>
      </w:pPr>
      <w:r>
        <w:rPr>
          <w:rFonts w:hint="eastAsia" w:hAnsi="宋体" w:cs="宋体"/>
          <w:kern w:val="2"/>
          <w:szCs w:val="21"/>
        </w:rPr>
        <w:t>在硬核开始时定产，亩产控制在早熟品种150</w:t>
      </w:r>
      <w:r>
        <w:rPr>
          <w:rFonts w:hint="eastAsia" w:ascii="宋体" w:hAnsi="宋体" w:eastAsia="宋体" w:cs="Times New Roman"/>
          <w:color w:val="auto"/>
          <w:spacing w:val="60"/>
          <w:kern w:val="24"/>
        </w:rPr>
        <w:t>0</w:t>
      </w:r>
      <w:r>
        <w:rPr>
          <w:rFonts w:hint="eastAsia" w:hAnsi="宋体" w:cs="宋体"/>
          <w:kern w:val="2"/>
          <w:szCs w:val="21"/>
        </w:rPr>
        <w:t>kg，中、晚熟品种200</w:t>
      </w:r>
      <w:r>
        <w:rPr>
          <w:rFonts w:hint="eastAsia" w:ascii="宋体" w:hAnsi="宋体" w:eastAsia="宋体" w:cs="Times New Roman"/>
          <w:color w:val="auto"/>
          <w:spacing w:val="60"/>
          <w:kern w:val="24"/>
        </w:rPr>
        <w:t>0</w:t>
      </w:r>
      <w:r>
        <w:rPr>
          <w:rFonts w:hint="eastAsia" w:hAnsi="宋体" w:cs="宋体"/>
          <w:kern w:val="2"/>
          <w:szCs w:val="21"/>
        </w:rPr>
        <w:t>kg</w:t>
      </w:r>
      <w:r>
        <w:rPr>
          <w:rFonts w:hAnsi="宋体" w:cs="宋体"/>
          <w:kern w:val="2"/>
          <w:szCs w:val="21"/>
        </w:rPr>
        <w:t>～</w:t>
      </w:r>
      <w:r>
        <w:rPr>
          <w:rFonts w:hint="eastAsia" w:hAnsi="宋体" w:cs="宋体"/>
          <w:kern w:val="2"/>
          <w:szCs w:val="21"/>
        </w:rPr>
        <w:t>250</w:t>
      </w:r>
      <w:r>
        <w:rPr>
          <w:rFonts w:hint="eastAsia" w:ascii="宋体" w:hAnsi="宋体" w:eastAsia="宋体" w:cs="Times New Roman"/>
          <w:color w:val="auto"/>
          <w:spacing w:val="60"/>
          <w:kern w:val="24"/>
        </w:rPr>
        <w:t>0</w:t>
      </w:r>
      <w:r>
        <w:rPr>
          <w:rFonts w:hint="eastAsia" w:hAnsi="宋体" w:cs="宋体"/>
          <w:kern w:val="2"/>
          <w:szCs w:val="21"/>
        </w:rPr>
        <w:t>kg。</w:t>
      </w:r>
      <w:r>
        <w:rPr>
          <w:rFonts w:hAnsi="宋体" w:cs="宋体"/>
          <w:kern w:val="2"/>
          <w:szCs w:val="21"/>
        </w:rPr>
        <w:t>早熟品种结合疏果一次性定果</w:t>
      </w:r>
      <w:r>
        <w:rPr>
          <w:rFonts w:hint="eastAsia" w:hAnsi="宋体" w:cs="宋体"/>
          <w:kern w:val="2"/>
          <w:szCs w:val="21"/>
        </w:rPr>
        <w:t>，</w:t>
      </w:r>
      <w:r>
        <w:rPr>
          <w:rFonts w:hAnsi="宋体" w:cs="宋体"/>
          <w:kern w:val="2"/>
          <w:szCs w:val="21"/>
        </w:rPr>
        <w:t>中晚熟品种</w:t>
      </w:r>
      <w:r>
        <w:rPr>
          <w:rFonts w:hint="eastAsia" w:hAnsi="宋体" w:cs="宋体"/>
          <w:kern w:val="2"/>
          <w:szCs w:val="21"/>
        </w:rPr>
        <w:t>根据</w:t>
      </w:r>
      <w:r>
        <w:rPr>
          <w:rFonts w:hAnsi="宋体" w:cs="宋体"/>
          <w:kern w:val="2"/>
          <w:szCs w:val="21"/>
        </w:rPr>
        <w:t>定</w:t>
      </w:r>
      <w:r>
        <w:rPr>
          <w:rFonts w:hint="eastAsia" w:hAnsi="宋体" w:cs="宋体"/>
          <w:kern w:val="2"/>
          <w:szCs w:val="21"/>
        </w:rPr>
        <w:t>产</w:t>
      </w:r>
      <w:r>
        <w:rPr>
          <w:rFonts w:hAnsi="宋体" w:cs="宋体"/>
          <w:kern w:val="2"/>
          <w:szCs w:val="21"/>
        </w:rPr>
        <w:t>量</w:t>
      </w:r>
      <w:r>
        <w:rPr>
          <w:rFonts w:hint="eastAsia" w:hAnsi="宋体" w:cs="宋体"/>
          <w:kern w:val="2"/>
          <w:szCs w:val="21"/>
        </w:rPr>
        <w:t>和坐果率高低</w:t>
      </w:r>
      <w:r>
        <w:rPr>
          <w:rFonts w:hAnsi="宋体" w:cs="宋体"/>
          <w:kern w:val="2"/>
          <w:szCs w:val="21"/>
        </w:rPr>
        <w:t>多留1.</w:t>
      </w:r>
      <w:r>
        <w:rPr>
          <w:rFonts w:hint="eastAsia" w:hAnsi="宋体" w:cs="宋体"/>
          <w:kern w:val="2"/>
          <w:szCs w:val="21"/>
        </w:rPr>
        <w:t>0</w:t>
      </w:r>
      <w:r>
        <w:rPr>
          <w:rFonts w:hAnsi="宋体" w:cs="宋体"/>
          <w:kern w:val="2"/>
          <w:szCs w:val="21"/>
        </w:rPr>
        <w:t>～</w:t>
      </w:r>
      <w:r>
        <w:rPr>
          <w:rFonts w:hint="eastAsia" w:hAnsi="宋体" w:cs="宋体"/>
          <w:kern w:val="2"/>
          <w:szCs w:val="21"/>
        </w:rPr>
        <w:t>1.5</w:t>
      </w:r>
      <w:r>
        <w:rPr>
          <w:rFonts w:hAnsi="宋体" w:cs="宋体"/>
          <w:kern w:val="2"/>
          <w:szCs w:val="21"/>
        </w:rPr>
        <w:t xml:space="preserve">倍果。 </w:t>
      </w:r>
    </w:p>
    <w:p>
      <w:pPr>
        <w:pStyle w:val="71"/>
        <w:spacing w:before="156" w:after="156"/>
        <w:rPr>
          <w:rFonts w:ascii="Calibri" w:hAnsi="Calibri"/>
        </w:rPr>
      </w:pPr>
      <w:r>
        <w:rPr>
          <w:rFonts w:ascii="Calibri" w:hAnsi="Calibri"/>
        </w:rPr>
        <w:t>套袋</w:t>
      </w:r>
    </w:p>
    <w:p>
      <w:pPr>
        <w:pStyle w:val="32"/>
        <w:rPr>
          <w:rFonts w:hAnsi="宋体" w:cs="宋体"/>
          <w:kern w:val="2"/>
          <w:szCs w:val="21"/>
        </w:rPr>
      </w:pPr>
      <w:r>
        <w:rPr>
          <w:rFonts w:hAnsi="宋体" w:cs="宋体"/>
          <w:kern w:val="2"/>
          <w:szCs w:val="21"/>
        </w:rPr>
        <w:t>选用</w:t>
      </w:r>
      <w:r>
        <w:rPr>
          <w:rFonts w:hint="eastAsia" w:hAnsi="宋体" w:cs="宋体"/>
          <w:kern w:val="2"/>
          <w:szCs w:val="21"/>
        </w:rPr>
        <w:t>黒衬双层纸袋或</w:t>
      </w:r>
      <w:r>
        <w:rPr>
          <w:rFonts w:hAnsi="宋体" w:cs="宋体"/>
          <w:kern w:val="2"/>
          <w:szCs w:val="21"/>
        </w:rPr>
        <w:t>单层</w:t>
      </w:r>
      <w:r>
        <w:rPr>
          <w:rFonts w:hint="eastAsia" w:hAnsi="宋体" w:cs="宋体"/>
          <w:kern w:val="2"/>
          <w:szCs w:val="21"/>
        </w:rPr>
        <w:t>浅</w:t>
      </w:r>
      <w:r>
        <w:rPr>
          <w:rFonts w:hAnsi="宋体" w:cs="宋体"/>
          <w:kern w:val="2"/>
          <w:szCs w:val="21"/>
        </w:rPr>
        <w:t>色袋。套袋前</w:t>
      </w:r>
      <w:r>
        <w:rPr>
          <w:rFonts w:hint="eastAsia" w:hAnsi="宋体" w:cs="宋体"/>
          <w:kern w:val="2"/>
          <w:szCs w:val="21"/>
        </w:rPr>
        <w:t>先</w:t>
      </w:r>
      <w:r>
        <w:rPr>
          <w:rFonts w:hAnsi="宋体" w:cs="宋体"/>
          <w:kern w:val="2"/>
          <w:szCs w:val="21"/>
        </w:rPr>
        <w:t>喷一遍杀虫、杀菌剂</w:t>
      </w:r>
      <w:r>
        <w:rPr>
          <w:rFonts w:hint="eastAsia" w:hAnsi="宋体" w:cs="宋体"/>
          <w:kern w:val="2"/>
          <w:szCs w:val="21"/>
        </w:rPr>
        <w:t>，</w:t>
      </w:r>
      <w:r>
        <w:rPr>
          <w:rFonts w:hAnsi="宋体" w:cs="宋体"/>
          <w:kern w:val="2"/>
          <w:szCs w:val="21"/>
        </w:rPr>
        <w:t>果面药液晾干后及时套袋</w:t>
      </w:r>
      <w:r>
        <w:rPr>
          <w:rFonts w:hint="eastAsia" w:hAnsi="宋体" w:cs="宋体"/>
          <w:kern w:val="2"/>
          <w:szCs w:val="21"/>
        </w:rPr>
        <w:t>，袋口封严</w:t>
      </w:r>
      <w:r>
        <w:rPr>
          <w:rFonts w:hAnsi="宋体" w:cs="宋体"/>
          <w:kern w:val="2"/>
          <w:szCs w:val="21"/>
        </w:rPr>
        <w:t>，药剂</w:t>
      </w:r>
      <w:r>
        <w:rPr>
          <w:rFonts w:hint="eastAsia" w:hAnsi="宋体" w:cs="宋体"/>
          <w:kern w:val="2"/>
          <w:szCs w:val="21"/>
        </w:rPr>
        <w:t>使用</w:t>
      </w:r>
      <w:r>
        <w:rPr>
          <w:rFonts w:hAnsi="宋体" w:cs="宋体"/>
          <w:kern w:val="2"/>
          <w:szCs w:val="21"/>
        </w:rPr>
        <w:t>符合</w:t>
      </w:r>
      <w:r>
        <w:rPr>
          <w:rFonts w:hint="eastAsia" w:hAnsi="宋体" w:cs="宋体"/>
          <w:kern w:val="2"/>
          <w:szCs w:val="21"/>
          <w:lang w:val="en-US" w:eastAsia="zh-CN"/>
        </w:rPr>
        <w:t xml:space="preserve"> </w:t>
      </w:r>
      <w:r>
        <w:rPr>
          <w:rFonts w:hAnsi="宋体" w:cs="宋体"/>
          <w:kern w:val="2"/>
          <w:szCs w:val="21"/>
        </w:rPr>
        <w:t>NY/T 393</w:t>
      </w:r>
      <w:r>
        <w:rPr>
          <w:rFonts w:hint="eastAsia" w:hAnsi="宋体" w:cs="宋体"/>
          <w:kern w:val="2"/>
          <w:szCs w:val="21"/>
          <w:lang w:val="en-US" w:eastAsia="zh-CN"/>
        </w:rPr>
        <w:t xml:space="preserve"> </w:t>
      </w:r>
      <w:r>
        <w:rPr>
          <w:rFonts w:hAnsi="宋体" w:cs="宋体"/>
          <w:kern w:val="2"/>
          <w:szCs w:val="21"/>
        </w:rPr>
        <w:t>规定</w:t>
      </w:r>
      <w:r>
        <w:rPr>
          <w:rFonts w:hint="eastAsia" w:hAnsi="宋体" w:cs="宋体"/>
          <w:kern w:val="2"/>
          <w:szCs w:val="21"/>
        </w:rPr>
        <w:t>。</w:t>
      </w:r>
      <w:r>
        <w:rPr>
          <w:rFonts w:hAnsi="宋体" w:cs="宋体"/>
          <w:kern w:val="2"/>
          <w:szCs w:val="21"/>
        </w:rPr>
        <w:t>套袋顺序应为先早熟后晚熟品种，在树体上应先上后下，先内后外。</w:t>
      </w:r>
    </w:p>
    <w:p>
      <w:pPr>
        <w:pStyle w:val="71"/>
        <w:spacing w:before="156" w:after="156"/>
        <w:rPr>
          <w:rFonts w:ascii="Calibri" w:hAnsi="Calibri"/>
        </w:rPr>
      </w:pPr>
      <w:r>
        <w:rPr>
          <w:rFonts w:ascii="Calibri" w:hAnsi="Calibri"/>
        </w:rPr>
        <w:t>解袋</w:t>
      </w:r>
    </w:p>
    <w:p>
      <w:pPr>
        <w:ind w:firstLine="420" w:firstLineChars="200"/>
        <w:rPr>
          <w:rFonts w:ascii="宋体" w:hAnsi="宋体" w:cs="宋体"/>
          <w:szCs w:val="21"/>
        </w:rPr>
      </w:pPr>
      <w:r>
        <w:rPr>
          <w:rFonts w:ascii="宋体" w:hAnsi="宋体" w:cs="宋体"/>
          <w:szCs w:val="21"/>
        </w:rPr>
        <w:t>果实成熟前</w:t>
      </w:r>
      <w:r>
        <w:rPr>
          <w:rFonts w:hint="eastAsia" w:ascii="宋体" w:hAnsi="宋体" w:eastAsia="宋体" w:cs="Times New Roman"/>
          <w:color w:val="auto"/>
          <w:spacing w:val="60"/>
          <w:kern w:val="24"/>
          <w:sz w:val="21"/>
          <w:szCs w:val="20"/>
          <w:lang w:val="en-US" w:eastAsia="zh-CN" w:bidi="ar-SA"/>
        </w:rPr>
        <w:t>7</w:t>
      </w:r>
      <w:r>
        <w:rPr>
          <w:rFonts w:hint="eastAsia" w:ascii="宋体" w:hAnsi="宋体" w:cs="宋体"/>
          <w:szCs w:val="21"/>
        </w:rPr>
        <w:t>d</w:t>
      </w:r>
      <w:r>
        <w:rPr>
          <w:rFonts w:ascii="宋体" w:hAnsi="宋体" w:cs="宋体"/>
          <w:szCs w:val="21"/>
        </w:rPr>
        <w:t>～1</w:t>
      </w:r>
      <w:r>
        <w:rPr>
          <w:rFonts w:hint="eastAsia" w:ascii="宋体" w:hAnsi="宋体" w:eastAsia="宋体" w:cs="Times New Roman"/>
          <w:color w:val="auto"/>
          <w:spacing w:val="60"/>
          <w:kern w:val="24"/>
          <w:sz w:val="21"/>
          <w:szCs w:val="20"/>
          <w:lang w:val="en-US" w:eastAsia="zh-CN" w:bidi="ar-SA"/>
        </w:rPr>
        <w:t>5</w:t>
      </w:r>
      <w:r>
        <w:rPr>
          <w:rFonts w:ascii="宋体" w:hAnsi="宋体" w:cs="宋体"/>
          <w:szCs w:val="21"/>
        </w:rPr>
        <w:t>d解袋，先解上部外围果，后解下部内膛果。</w:t>
      </w:r>
    </w:p>
    <w:p>
      <w:pPr>
        <w:pStyle w:val="71"/>
        <w:spacing w:before="156" w:after="156"/>
        <w:rPr>
          <w:rFonts w:ascii="Calibri" w:hAnsi="Calibri"/>
        </w:rPr>
      </w:pPr>
      <w:r>
        <w:rPr>
          <w:rFonts w:ascii="Calibri" w:hAnsi="Calibri"/>
        </w:rPr>
        <w:t>采收</w:t>
      </w:r>
      <w:r>
        <w:rPr>
          <w:rFonts w:hint="eastAsia" w:ascii="Calibri" w:hAnsi="Calibri"/>
        </w:rPr>
        <w:t>和</w:t>
      </w:r>
      <w:r>
        <w:rPr>
          <w:rFonts w:ascii="Calibri" w:hAnsi="Calibri"/>
        </w:rPr>
        <w:t>包装、运输</w:t>
      </w:r>
    </w:p>
    <w:p>
      <w:pPr>
        <w:pStyle w:val="32"/>
        <w:rPr>
          <w:rFonts w:hAnsi="宋体" w:cs="宋体"/>
          <w:kern w:val="2"/>
          <w:szCs w:val="21"/>
        </w:rPr>
      </w:pPr>
      <w:r>
        <w:rPr>
          <w:rFonts w:hAnsi="宋体" w:cs="宋体"/>
          <w:kern w:val="2"/>
          <w:szCs w:val="21"/>
        </w:rPr>
        <w:t>按照</w:t>
      </w:r>
      <w:r>
        <w:rPr>
          <w:rFonts w:hint="eastAsia" w:hAnsi="宋体" w:cs="宋体"/>
          <w:kern w:val="2"/>
          <w:szCs w:val="21"/>
          <w:lang w:val="en-US" w:eastAsia="zh-CN"/>
        </w:rPr>
        <w:t xml:space="preserve"> </w:t>
      </w:r>
      <w:r>
        <w:rPr>
          <w:rFonts w:hAnsi="宋体" w:cs="宋体"/>
          <w:kern w:val="2"/>
          <w:szCs w:val="21"/>
        </w:rPr>
        <w:t>NY/T 586</w:t>
      </w:r>
      <w:r>
        <w:rPr>
          <w:rFonts w:hint="eastAsia" w:hAnsi="宋体" w:cs="宋体"/>
          <w:kern w:val="2"/>
          <w:szCs w:val="21"/>
          <w:lang w:val="en-US" w:eastAsia="zh-CN"/>
        </w:rPr>
        <w:t xml:space="preserve"> </w:t>
      </w:r>
      <w:r>
        <w:rPr>
          <w:rFonts w:hAnsi="宋体" w:cs="宋体"/>
          <w:kern w:val="2"/>
          <w:szCs w:val="21"/>
        </w:rPr>
        <w:t>规定执行。</w:t>
      </w:r>
    </w:p>
    <w:p>
      <w:pPr>
        <w:pStyle w:val="70"/>
        <w:spacing w:before="312" w:after="312"/>
      </w:pPr>
      <w:r>
        <w:t>清园与冬季防寒</w:t>
      </w:r>
    </w:p>
    <w:p>
      <w:pPr>
        <w:tabs>
          <w:tab w:val="left" w:pos="1842"/>
        </w:tabs>
        <w:spacing w:before="156" w:beforeLines="50" w:after="156" w:afterLines="50"/>
        <w:outlineLvl w:val="0"/>
        <w:rPr>
          <w:rFonts w:eastAsia="黑体"/>
          <w:kern w:val="0"/>
          <w:szCs w:val="21"/>
        </w:rPr>
      </w:pPr>
      <w:r>
        <w:rPr>
          <w:rFonts w:hint="eastAsia" w:eastAsia="黑体"/>
          <w:kern w:val="0"/>
          <w:szCs w:val="21"/>
        </w:rPr>
        <w:t>7</w:t>
      </w:r>
      <w:r>
        <w:rPr>
          <w:rFonts w:eastAsia="黑体"/>
          <w:kern w:val="0"/>
          <w:szCs w:val="21"/>
        </w:rPr>
        <w:t>.1</w:t>
      </w:r>
      <w:r>
        <w:rPr>
          <w:rFonts w:ascii="黑体" w:hAnsi="Times New Roman" w:eastAsia="黑体"/>
          <w:kern w:val="0"/>
          <w:szCs w:val="21"/>
        </w:rPr>
        <w:t>清园</w:t>
      </w:r>
    </w:p>
    <w:p>
      <w:pPr>
        <w:ind w:firstLine="420" w:firstLineChars="200"/>
        <w:rPr>
          <w:rFonts w:ascii="宋体" w:hAnsi="宋体" w:cs="宋体"/>
          <w:szCs w:val="21"/>
        </w:rPr>
      </w:pPr>
      <w:r>
        <w:rPr>
          <w:rFonts w:ascii="宋体" w:hAnsi="宋体" w:cs="宋体"/>
          <w:szCs w:val="21"/>
        </w:rPr>
        <w:t>结合冬剪，清除树上的病虫枝、僵果，刮去树干和主枝上老化裂缝的翘皮、病皮，连同地面落果</w:t>
      </w:r>
      <w:r>
        <w:rPr>
          <w:rFonts w:hint="eastAsia" w:ascii="宋体" w:hAnsi="宋体" w:cs="宋体"/>
          <w:szCs w:val="21"/>
        </w:rPr>
        <w:t>和</w:t>
      </w:r>
      <w:r>
        <w:rPr>
          <w:rFonts w:ascii="宋体" w:hAnsi="宋体" w:cs="宋体"/>
          <w:szCs w:val="21"/>
        </w:rPr>
        <w:t>枯枝、落叶等集中收集并做无害化处理。刮树皮时不伤及韧皮部和木质部。</w:t>
      </w:r>
    </w:p>
    <w:p>
      <w:pPr>
        <w:pStyle w:val="71"/>
        <w:numPr>
          <w:ilvl w:val="0"/>
          <w:numId w:val="0"/>
        </w:numPr>
        <w:spacing w:before="156" w:after="156"/>
        <w:rPr>
          <w:rFonts w:hint="eastAsia" w:ascii="Calibri" w:hAnsi="Calibri" w:cs="Times New Roman"/>
        </w:rPr>
      </w:pPr>
      <w:r>
        <w:rPr>
          <w:rFonts w:hint="eastAsia" w:ascii="Calibri" w:hAnsi="Calibri" w:cs="Times New Roman"/>
        </w:rPr>
        <w:t>7.2 树干涂白</w:t>
      </w:r>
    </w:p>
    <w:p>
      <w:pPr>
        <w:tabs>
          <w:tab w:val="left" w:pos="1842"/>
        </w:tabs>
        <w:spacing w:before="156" w:beforeLines="50" w:after="156" w:afterLines="50"/>
        <w:outlineLvl w:val="0"/>
        <w:rPr>
          <w:rFonts w:eastAsia="黑体"/>
          <w:kern w:val="0"/>
          <w:szCs w:val="21"/>
        </w:rPr>
      </w:pPr>
      <w:r>
        <w:rPr>
          <w:rFonts w:hint="eastAsia" w:eastAsia="黑体"/>
          <w:kern w:val="0"/>
          <w:szCs w:val="21"/>
        </w:rPr>
        <w:t>7</w:t>
      </w:r>
      <w:r>
        <w:rPr>
          <w:rFonts w:eastAsia="黑体"/>
          <w:kern w:val="0"/>
          <w:szCs w:val="21"/>
        </w:rPr>
        <w:t xml:space="preserve">.2.1 </w:t>
      </w:r>
      <w:r>
        <w:rPr>
          <w:rFonts w:ascii="黑体" w:hAnsi="Times New Roman" w:eastAsia="黑体"/>
          <w:kern w:val="0"/>
          <w:szCs w:val="21"/>
        </w:rPr>
        <w:t>涂白剂配制</w:t>
      </w:r>
    </w:p>
    <w:p>
      <w:pPr>
        <w:ind w:firstLine="420" w:firstLineChars="200"/>
        <w:rPr>
          <w:rFonts w:ascii="宋体" w:hAnsi="宋体" w:cs="宋体"/>
          <w:szCs w:val="21"/>
        </w:rPr>
      </w:pPr>
      <w:r>
        <w:rPr>
          <w:rFonts w:hint="eastAsia" w:ascii="宋体" w:hAnsi="宋体" w:cs="宋体"/>
          <w:szCs w:val="21"/>
        </w:rPr>
        <w:t>配制方法见附录A。</w:t>
      </w:r>
    </w:p>
    <w:p>
      <w:pPr>
        <w:tabs>
          <w:tab w:val="left" w:pos="1842"/>
        </w:tabs>
        <w:spacing w:before="156" w:beforeLines="50" w:after="156" w:afterLines="50"/>
        <w:outlineLvl w:val="0"/>
        <w:rPr>
          <w:rFonts w:eastAsia="黑体"/>
          <w:kern w:val="0"/>
          <w:szCs w:val="21"/>
        </w:rPr>
      </w:pPr>
      <w:r>
        <w:rPr>
          <w:rFonts w:hint="eastAsia" w:eastAsia="黑体"/>
          <w:szCs w:val="21"/>
        </w:rPr>
        <w:t>7</w:t>
      </w:r>
      <w:r>
        <w:rPr>
          <w:rFonts w:eastAsia="黑体"/>
          <w:kern w:val="0"/>
          <w:szCs w:val="21"/>
        </w:rPr>
        <w:t xml:space="preserve">.2.2 </w:t>
      </w:r>
      <w:r>
        <w:rPr>
          <w:rFonts w:ascii="黑体" w:hAnsi="Times New Roman" w:eastAsia="黑体"/>
          <w:kern w:val="0"/>
          <w:szCs w:val="21"/>
        </w:rPr>
        <w:t>涂白方法</w:t>
      </w:r>
    </w:p>
    <w:p>
      <w:pPr>
        <w:ind w:firstLine="420" w:firstLineChars="200"/>
        <w:rPr>
          <w:rFonts w:ascii="宋体" w:hAnsi="宋体" w:cs="宋体"/>
          <w:szCs w:val="21"/>
        </w:rPr>
      </w:pPr>
      <w:r>
        <w:rPr>
          <w:rFonts w:ascii="宋体" w:hAnsi="宋体" w:cs="宋体"/>
          <w:szCs w:val="21"/>
        </w:rPr>
        <w:t>于落叶后至封冻前，最低气温不低于</w:t>
      </w:r>
      <w:r>
        <w:rPr>
          <w:rFonts w:hint="eastAsia" w:ascii="宋体" w:hAnsi="宋体" w:eastAsia="宋体" w:cs="Times New Roman"/>
          <w:color w:val="auto"/>
          <w:spacing w:val="60"/>
          <w:kern w:val="24"/>
          <w:sz w:val="21"/>
          <w:szCs w:val="20"/>
          <w:lang w:val="en-US" w:eastAsia="zh-CN" w:bidi="ar-SA"/>
        </w:rPr>
        <w:t>0</w:t>
      </w:r>
      <w:r>
        <w:rPr>
          <w:rFonts w:ascii="宋体" w:hAnsi="宋体" w:cs="宋体"/>
          <w:szCs w:val="21"/>
        </w:rPr>
        <w:t>℃时进行。涂白剂中可加入适量杀虫药剂，对树干和骨干枝全面涂刷，涂白高度1.</w:t>
      </w:r>
      <w:r>
        <w:rPr>
          <w:rFonts w:hint="eastAsia" w:ascii="宋体" w:hAnsi="宋体" w:eastAsia="宋体" w:cs="Times New Roman"/>
          <w:color w:val="auto"/>
          <w:spacing w:val="60"/>
          <w:kern w:val="24"/>
          <w:sz w:val="21"/>
          <w:szCs w:val="20"/>
          <w:lang w:val="en-US" w:eastAsia="zh-CN" w:bidi="ar-SA"/>
        </w:rPr>
        <w:t>2</w:t>
      </w:r>
      <w:r>
        <w:rPr>
          <w:rFonts w:ascii="宋体" w:hAnsi="宋体" w:cs="宋体"/>
          <w:szCs w:val="21"/>
        </w:rPr>
        <w:t>m～1.</w:t>
      </w:r>
      <w:r>
        <w:rPr>
          <w:rFonts w:hint="eastAsia" w:ascii="宋体" w:hAnsi="宋体" w:eastAsia="宋体" w:cs="Times New Roman"/>
          <w:color w:val="auto"/>
          <w:spacing w:val="60"/>
          <w:kern w:val="24"/>
          <w:sz w:val="21"/>
          <w:szCs w:val="20"/>
          <w:lang w:val="en-US" w:eastAsia="zh-CN" w:bidi="ar-SA"/>
        </w:rPr>
        <w:t>5</w:t>
      </w:r>
      <w:r>
        <w:rPr>
          <w:rFonts w:ascii="宋体" w:hAnsi="宋体" w:cs="宋体"/>
          <w:szCs w:val="21"/>
        </w:rPr>
        <w:t>m</w:t>
      </w:r>
    </w:p>
    <w:p>
      <w:pPr>
        <w:pStyle w:val="71"/>
        <w:numPr>
          <w:ilvl w:val="0"/>
          <w:numId w:val="0"/>
        </w:numPr>
        <w:spacing w:before="156" w:after="156"/>
        <w:rPr>
          <w:rFonts w:ascii="Calibri" w:hAnsi="Calibri"/>
        </w:rPr>
      </w:pPr>
      <w:r>
        <w:rPr>
          <w:rFonts w:hint="eastAsia" w:ascii="Calibri" w:hAnsi="Calibri"/>
        </w:rPr>
        <w:t>7</w:t>
      </w:r>
      <w:r>
        <w:rPr>
          <w:rFonts w:ascii="Calibri" w:hAnsi="Calibri"/>
        </w:rPr>
        <w:t xml:space="preserve">.3 </w:t>
      </w:r>
      <w:r>
        <w:t>深翻改土</w:t>
      </w:r>
    </w:p>
    <w:p>
      <w:pPr>
        <w:ind w:firstLine="420" w:firstLineChars="200"/>
        <w:rPr>
          <w:rFonts w:ascii="宋体" w:hAnsi="宋体" w:cs="宋体"/>
          <w:szCs w:val="21"/>
        </w:rPr>
      </w:pPr>
      <w:r>
        <w:rPr>
          <w:rFonts w:ascii="宋体" w:hAnsi="宋体" w:cs="宋体"/>
          <w:szCs w:val="21"/>
        </w:rPr>
        <w:t>清园后，将树冠外围深翻2</w:t>
      </w:r>
      <w:r>
        <w:rPr>
          <w:rFonts w:hint="eastAsia" w:ascii="宋体" w:hAnsi="宋体" w:eastAsia="宋体" w:cs="Times New Roman"/>
          <w:color w:val="auto"/>
          <w:spacing w:val="60"/>
          <w:kern w:val="24"/>
          <w:sz w:val="21"/>
          <w:szCs w:val="20"/>
          <w:lang w:val="en-US" w:eastAsia="zh-CN" w:bidi="ar-SA"/>
        </w:rPr>
        <w:t>0</w:t>
      </w:r>
      <w:r>
        <w:rPr>
          <w:rFonts w:ascii="宋体" w:hAnsi="宋体" w:cs="宋体"/>
          <w:szCs w:val="21"/>
        </w:rPr>
        <w:t>cm～3</w:t>
      </w:r>
      <w:r>
        <w:rPr>
          <w:rFonts w:hint="eastAsia" w:ascii="宋体" w:hAnsi="宋体" w:eastAsia="宋体" w:cs="Times New Roman"/>
          <w:color w:val="auto"/>
          <w:spacing w:val="60"/>
          <w:kern w:val="24"/>
          <w:sz w:val="21"/>
          <w:szCs w:val="20"/>
          <w:lang w:val="en-US" w:eastAsia="zh-CN" w:bidi="ar-SA"/>
        </w:rPr>
        <w:t>0</w:t>
      </w:r>
      <w:r>
        <w:rPr>
          <w:rFonts w:ascii="宋体" w:hAnsi="宋体" w:cs="宋体"/>
          <w:szCs w:val="21"/>
        </w:rPr>
        <w:t>cm，树冠下1</w:t>
      </w:r>
      <w:r>
        <w:rPr>
          <w:rFonts w:hint="eastAsia" w:ascii="宋体" w:hAnsi="宋体" w:eastAsia="宋体" w:cs="Times New Roman"/>
          <w:color w:val="auto"/>
          <w:spacing w:val="60"/>
          <w:kern w:val="24"/>
          <w:sz w:val="21"/>
          <w:szCs w:val="20"/>
          <w:lang w:val="en-US" w:eastAsia="zh-CN" w:bidi="ar-SA"/>
        </w:rPr>
        <w:t>0</w:t>
      </w:r>
      <w:r>
        <w:rPr>
          <w:rFonts w:ascii="宋体" w:hAnsi="宋体" w:cs="宋体"/>
          <w:szCs w:val="21"/>
        </w:rPr>
        <w:t>cm～1</w:t>
      </w:r>
      <w:r>
        <w:rPr>
          <w:rFonts w:hint="eastAsia" w:ascii="宋体" w:hAnsi="宋体" w:eastAsia="宋体" w:cs="Times New Roman"/>
          <w:color w:val="auto"/>
          <w:spacing w:val="60"/>
          <w:kern w:val="24"/>
          <w:sz w:val="21"/>
          <w:szCs w:val="20"/>
          <w:lang w:val="en-US" w:eastAsia="zh-CN" w:bidi="ar-SA"/>
        </w:rPr>
        <w:t>5</w:t>
      </w:r>
      <w:r>
        <w:rPr>
          <w:rFonts w:ascii="宋体" w:hAnsi="宋体" w:cs="宋体"/>
          <w:szCs w:val="21"/>
        </w:rPr>
        <w:t>cm。</w:t>
      </w:r>
    </w:p>
    <w:p>
      <w:pPr>
        <w:pStyle w:val="71"/>
        <w:numPr>
          <w:ilvl w:val="2"/>
          <w:numId w:val="0"/>
        </w:numPr>
        <w:spacing w:before="156" w:after="156"/>
        <w:rPr>
          <w:rFonts w:ascii="Calibri" w:hAnsi="Calibri"/>
        </w:rPr>
      </w:pPr>
      <w:r>
        <w:rPr>
          <w:rFonts w:hint="eastAsia" w:ascii="Calibri" w:hAnsi="Calibri"/>
        </w:rPr>
        <w:t>7</w:t>
      </w:r>
      <w:r>
        <w:rPr>
          <w:rFonts w:ascii="Calibri" w:hAnsi="Calibri"/>
        </w:rPr>
        <w:t>.4 根颈保护</w:t>
      </w:r>
    </w:p>
    <w:p>
      <w:pPr>
        <w:ind w:firstLine="420" w:firstLineChars="200"/>
        <w:rPr>
          <w:rFonts w:ascii="宋体" w:hAnsi="宋体" w:cs="宋体"/>
          <w:szCs w:val="21"/>
        </w:rPr>
      </w:pPr>
      <w:r>
        <w:rPr>
          <w:rFonts w:ascii="宋体" w:hAnsi="宋体" w:cs="宋体"/>
          <w:szCs w:val="21"/>
        </w:rPr>
        <w:t>深翻改土后，在桃树根颈处培土3</w:t>
      </w:r>
      <w:r>
        <w:rPr>
          <w:rFonts w:hint="eastAsia" w:ascii="宋体" w:hAnsi="宋体" w:eastAsia="宋体" w:cs="Times New Roman"/>
          <w:color w:val="auto"/>
          <w:spacing w:val="60"/>
          <w:kern w:val="24"/>
          <w:sz w:val="21"/>
          <w:szCs w:val="20"/>
          <w:lang w:val="en-US" w:eastAsia="zh-CN" w:bidi="ar-SA"/>
        </w:rPr>
        <w:t>0</w:t>
      </w:r>
      <w:r>
        <w:rPr>
          <w:rFonts w:ascii="宋体" w:hAnsi="宋体" w:cs="宋体"/>
          <w:szCs w:val="21"/>
        </w:rPr>
        <w:t>cm，再用防寒布缠绕树干至分枝点以下。</w:t>
      </w:r>
    </w:p>
    <w:p>
      <w:pPr>
        <w:pStyle w:val="70"/>
        <w:spacing w:before="312" w:after="312"/>
      </w:pPr>
      <w:r>
        <w:t>病虫害防治</w:t>
      </w:r>
    </w:p>
    <w:p>
      <w:pPr>
        <w:pStyle w:val="71"/>
        <w:numPr>
          <w:ilvl w:val="0"/>
          <w:numId w:val="0"/>
        </w:numPr>
        <w:spacing w:before="156" w:after="156"/>
        <w:rPr>
          <w:rFonts w:ascii="Calibri" w:hAnsi="Calibri"/>
          <w:color w:val="0000FF"/>
        </w:rPr>
      </w:pPr>
      <w:r>
        <w:rPr>
          <w:rFonts w:hint="eastAsia" w:ascii="Calibri" w:hAnsi="Calibri"/>
        </w:rPr>
        <w:t xml:space="preserve">8.1  </w:t>
      </w:r>
      <w:r>
        <w:t xml:space="preserve">防治原则  </w:t>
      </w:r>
    </w:p>
    <w:p>
      <w:pPr>
        <w:ind w:firstLine="420" w:firstLineChars="200"/>
        <w:rPr>
          <w:rFonts w:ascii="宋体" w:hAnsi="宋体" w:cs="宋体"/>
          <w:szCs w:val="21"/>
        </w:rPr>
      </w:pPr>
      <w:r>
        <w:rPr>
          <w:rFonts w:ascii="宋体" w:hAnsi="宋体" w:cs="宋体"/>
          <w:szCs w:val="21"/>
        </w:rPr>
        <w:t>采取综合防治</w:t>
      </w:r>
      <w:r>
        <w:rPr>
          <w:rFonts w:hint="eastAsia" w:ascii="宋体" w:hAnsi="宋体" w:cs="宋体"/>
          <w:szCs w:val="21"/>
        </w:rPr>
        <w:t>、预防</w:t>
      </w:r>
      <w:r>
        <w:rPr>
          <w:rFonts w:ascii="宋体" w:hAnsi="宋体" w:cs="宋体"/>
          <w:szCs w:val="21"/>
        </w:rPr>
        <w:t>为主，农业防治</w:t>
      </w:r>
      <w:r>
        <w:rPr>
          <w:rFonts w:hint="eastAsia" w:ascii="宋体" w:hAnsi="宋体" w:cs="宋体"/>
          <w:szCs w:val="21"/>
        </w:rPr>
        <w:t>、生物防治和</w:t>
      </w:r>
      <w:r>
        <w:rPr>
          <w:rFonts w:ascii="宋体" w:hAnsi="宋体" w:cs="宋体"/>
          <w:szCs w:val="21"/>
        </w:rPr>
        <w:t>化学防治</w:t>
      </w:r>
      <w:r>
        <w:rPr>
          <w:rFonts w:hint="eastAsia" w:ascii="宋体" w:hAnsi="宋体" w:cs="宋体"/>
          <w:szCs w:val="21"/>
        </w:rPr>
        <w:t>相结合的原则。</w:t>
      </w:r>
    </w:p>
    <w:p>
      <w:pPr>
        <w:spacing w:before="156" w:beforeLines="50" w:after="156" w:afterLines="50"/>
        <w:rPr>
          <w:rFonts w:hint="eastAsia" w:eastAsia="黑体"/>
          <w:szCs w:val="21"/>
        </w:rPr>
      </w:pPr>
      <w:r>
        <w:rPr>
          <w:rFonts w:hint="eastAsia" w:eastAsia="黑体"/>
          <w:szCs w:val="21"/>
        </w:rPr>
        <w:t>8</w:t>
      </w:r>
      <w:r>
        <w:rPr>
          <w:rFonts w:eastAsia="黑体"/>
          <w:szCs w:val="21"/>
        </w:rPr>
        <w:t>.2</w:t>
      </w:r>
      <w:r>
        <w:rPr>
          <w:rFonts w:hint="eastAsia" w:eastAsia="黑体"/>
          <w:szCs w:val="21"/>
        </w:rPr>
        <w:t xml:space="preserve">  </w:t>
      </w:r>
      <w:r>
        <w:rPr>
          <w:rFonts w:hint="eastAsia" w:ascii="黑体" w:hAnsi="Times New Roman" w:eastAsia="黑体"/>
          <w:kern w:val="0"/>
          <w:szCs w:val="21"/>
        </w:rPr>
        <w:t>主要病虫害种类及防治方法</w:t>
      </w:r>
    </w:p>
    <w:p>
      <w:pPr>
        <w:pStyle w:val="32"/>
        <w:rPr>
          <w:rFonts w:hint="eastAsia"/>
        </w:rPr>
      </w:pPr>
      <w:r>
        <w:rPr>
          <w:rFonts w:hint="eastAsia" w:ascii="宋体" w:hAnsi="宋体" w:cs="宋体"/>
          <w:szCs w:val="21"/>
        </w:rPr>
        <w:t>见附录B和附录C。</w:t>
      </w:r>
      <w:r>
        <w:rPr>
          <w:rFonts w:hint="eastAsia"/>
        </w:rPr>
        <w:t>。</w:t>
      </w:r>
    </w:p>
    <w:p>
      <w:pPr>
        <w:pStyle w:val="32"/>
        <w:rPr>
          <w:rFonts w:hint="eastAsia"/>
        </w:rPr>
      </w:pPr>
    </w:p>
    <w:p>
      <w:pPr>
        <w:pStyle w:val="32"/>
        <w:rPr>
          <w:rFonts w:hint="eastAsia"/>
        </w:rPr>
      </w:pPr>
    </w:p>
    <w:p>
      <w:pPr>
        <w:pStyle w:val="32"/>
        <w:rPr>
          <w:rFonts w:hint="eastAsia"/>
        </w:rPr>
      </w:pPr>
    </w:p>
    <w:p>
      <w:pPr>
        <w:pStyle w:val="32"/>
        <w:rPr>
          <w:rFonts w:hint="eastAsia"/>
        </w:rPr>
      </w:pPr>
    </w:p>
    <w:p>
      <w:pPr>
        <w:pStyle w:val="32"/>
        <w:rPr>
          <w:rFonts w:hint="eastAsia"/>
        </w:rPr>
      </w:pPr>
    </w:p>
    <w:p>
      <w:pPr>
        <w:pStyle w:val="32"/>
        <w:rPr>
          <w:rFonts w:hint="eastAsia"/>
        </w:rPr>
      </w:pPr>
    </w:p>
    <w:p>
      <w:pPr>
        <w:pStyle w:val="32"/>
        <w:rPr>
          <w:rFonts w:hint="eastAsia"/>
        </w:rPr>
      </w:pPr>
    </w:p>
    <w:p>
      <w:pPr>
        <w:pStyle w:val="32"/>
        <w:rPr>
          <w:rFonts w:hint="eastAsia"/>
        </w:rPr>
      </w:pPr>
    </w:p>
    <w:p>
      <w:pPr>
        <w:pStyle w:val="32"/>
        <w:rPr>
          <w:rFonts w:hint="eastAsia"/>
        </w:rPr>
      </w:pPr>
    </w:p>
    <w:p>
      <w:pPr>
        <w:pStyle w:val="32"/>
        <w:rPr>
          <w:rFonts w:hint="eastAsia"/>
        </w:rPr>
      </w:pPr>
    </w:p>
    <w:p>
      <w:pPr>
        <w:pStyle w:val="32"/>
        <w:rPr>
          <w:rFonts w:hint="eastAsia"/>
        </w:rPr>
      </w:pPr>
    </w:p>
    <w:p>
      <w:pPr>
        <w:pStyle w:val="32"/>
        <w:rPr>
          <w:rFonts w:hint="eastAsia"/>
        </w:rPr>
      </w:pPr>
    </w:p>
    <w:p>
      <w:pPr>
        <w:pStyle w:val="32"/>
        <w:rPr>
          <w:rFonts w:hint="eastAsia"/>
        </w:rPr>
      </w:pPr>
    </w:p>
    <w:p>
      <w:pPr>
        <w:pStyle w:val="32"/>
        <w:rPr>
          <w:rFonts w:hint="eastAsia"/>
        </w:rPr>
      </w:pPr>
    </w:p>
    <w:p>
      <w:pPr>
        <w:pStyle w:val="32"/>
        <w:rPr>
          <w:rFonts w:hint="eastAsia"/>
        </w:rPr>
      </w:pPr>
    </w:p>
    <w:p>
      <w:pPr>
        <w:pStyle w:val="32"/>
        <w:rPr>
          <w:rFonts w:hint="eastAsia"/>
        </w:rPr>
      </w:pPr>
    </w:p>
    <w:p>
      <w:pPr>
        <w:pStyle w:val="32"/>
        <w:rPr>
          <w:rFonts w:hint="eastAsia"/>
        </w:rPr>
      </w:pPr>
    </w:p>
    <w:p>
      <w:pPr>
        <w:pStyle w:val="32"/>
        <w:rPr>
          <w:rFonts w:hint="eastAsia"/>
        </w:rPr>
      </w:pPr>
    </w:p>
    <w:p>
      <w:pPr>
        <w:pStyle w:val="32"/>
        <w:rPr>
          <w:rFonts w:hint="eastAsia"/>
        </w:rPr>
      </w:pPr>
    </w:p>
    <w:p>
      <w:pPr>
        <w:pStyle w:val="32"/>
        <w:rPr>
          <w:rFonts w:hint="eastAsia"/>
        </w:rPr>
      </w:pPr>
    </w:p>
    <w:p>
      <w:pPr>
        <w:pStyle w:val="32"/>
        <w:rPr>
          <w:rFonts w:hint="eastAsia"/>
        </w:rPr>
      </w:pPr>
    </w:p>
    <w:p>
      <w:pPr>
        <w:pStyle w:val="32"/>
        <w:rPr>
          <w:rFonts w:hint="eastAsia"/>
        </w:rPr>
      </w:pPr>
    </w:p>
    <w:p>
      <w:pPr>
        <w:pStyle w:val="32"/>
        <w:rPr>
          <w:rFonts w:ascii="Times New Roman"/>
          <w:szCs w:val="21"/>
        </w:rPr>
      </w:pPr>
    </w:p>
    <w:p>
      <w:pPr>
        <w:pStyle w:val="32"/>
        <w:rPr>
          <w:rFonts w:ascii="Times New Roman"/>
          <w:szCs w:val="21"/>
        </w:rPr>
      </w:pPr>
    </w:p>
    <w:p>
      <w:pPr>
        <w:pStyle w:val="32"/>
        <w:rPr>
          <w:rFonts w:ascii="Times New Roman"/>
          <w:szCs w:val="21"/>
        </w:rPr>
      </w:pPr>
    </w:p>
    <w:p>
      <w:pPr>
        <w:pStyle w:val="2"/>
        <w:rPr>
          <w:szCs w:val="21"/>
        </w:rPr>
      </w:pPr>
    </w:p>
    <w:p>
      <w:pPr>
        <w:ind w:firstLine="420" w:firstLineChars="200"/>
        <w:rPr>
          <w:szCs w:val="21"/>
        </w:rPr>
      </w:pPr>
    </w:p>
    <w:p>
      <w:pPr>
        <w:pStyle w:val="110"/>
        <w:bidi w:val="0"/>
        <w:rPr>
          <w:rFonts w:hint="eastAsia"/>
          <w:lang w:val="en-US" w:eastAsia="zh-CN"/>
        </w:rPr>
      </w:pPr>
      <w:r>
        <w:rPr>
          <w:rFonts w:hint="eastAsia"/>
        </w:rPr>
        <w:t>附录</w:t>
      </w:r>
      <w:r>
        <w:rPr>
          <w:rFonts w:hint="eastAsia"/>
          <w:lang w:val="en-US" w:eastAsia="zh-CN"/>
        </w:rPr>
        <w:t>A</w:t>
      </w:r>
    </w:p>
    <w:p>
      <w:pPr>
        <w:widowControl/>
        <w:spacing w:line="360" w:lineRule="auto"/>
        <w:jc w:val="center"/>
        <w:rPr>
          <w:rFonts w:ascii="黑体" w:eastAsia="黑体"/>
          <w:kern w:val="0"/>
          <w:szCs w:val="21"/>
        </w:rPr>
      </w:pPr>
      <w:r>
        <w:rPr>
          <w:rFonts w:hint="eastAsia" w:ascii="黑体" w:eastAsia="黑体"/>
          <w:kern w:val="0"/>
          <w:szCs w:val="21"/>
        </w:rPr>
        <w:t xml:space="preserve"> (</w:t>
      </w:r>
      <w:r>
        <w:rPr>
          <w:rFonts w:hint="eastAsia" w:ascii="黑体" w:eastAsia="黑体"/>
          <w:kern w:val="0"/>
          <w:szCs w:val="21"/>
          <w:lang w:val="en-US" w:eastAsia="zh-CN"/>
        </w:rPr>
        <w:t>资料</w:t>
      </w:r>
      <w:r>
        <w:rPr>
          <w:rFonts w:hint="eastAsia" w:ascii="黑体" w:eastAsia="黑体"/>
          <w:kern w:val="0"/>
          <w:szCs w:val="21"/>
        </w:rPr>
        <w:t>性）</w:t>
      </w:r>
    </w:p>
    <w:p>
      <w:pPr>
        <w:jc w:val="center"/>
        <w:rPr>
          <w:rFonts w:hint="eastAsia" w:ascii="黑体" w:hAnsi="黑体" w:eastAsia="黑体" w:cs="黑体"/>
          <w:b w:val="0"/>
          <w:bCs w:val="0"/>
        </w:rPr>
      </w:pPr>
      <w:r>
        <w:rPr>
          <w:rFonts w:hint="eastAsia" w:ascii="黑体" w:hAnsi="黑体" w:eastAsia="黑体" w:cs="黑体"/>
          <w:b w:val="0"/>
          <w:bCs w:val="0"/>
        </w:rPr>
        <w:t>树干涂白剂的配制方法</w:t>
      </w:r>
    </w:p>
    <w:p>
      <w:pPr>
        <w:pStyle w:val="2"/>
        <w:rPr>
          <w:rFonts w:hint="eastAsia"/>
        </w:rPr>
      </w:pPr>
    </w:p>
    <w:p>
      <w:pPr>
        <w:pStyle w:val="32"/>
        <w:ind w:firstLine="0" w:firstLineChars="0"/>
        <w:jc w:val="center"/>
        <w:rPr>
          <w:rFonts w:hint="eastAsia" w:ascii="黑体" w:hAnsi="黑体" w:eastAsia="黑体" w:cs="黑体"/>
        </w:rPr>
      </w:pPr>
      <w:r>
        <w:rPr>
          <w:rFonts w:hint="eastAsia" w:ascii="黑体" w:hAnsi="黑体" w:eastAsia="黑体" w:cs="黑体"/>
          <w:lang w:eastAsia="zh-CN"/>
        </w:rPr>
        <w:t>表</w:t>
      </w:r>
      <w:r>
        <w:rPr>
          <w:rFonts w:hint="eastAsia" w:ascii="黑体" w:hAnsi="黑体" w:eastAsia="黑体" w:cs="黑体"/>
          <w:lang w:val="en-US" w:eastAsia="zh-CN"/>
        </w:rPr>
        <w:t xml:space="preserve">A.1 </w:t>
      </w:r>
      <w:r>
        <w:rPr>
          <w:rFonts w:hint="eastAsia" w:ascii="黑体" w:hAnsi="黑体" w:eastAsia="黑体" w:cs="黑体"/>
        </w:rPr>
        <w:t>桃树干涂白剂的配制要求</w:t>
      </w:r>
    </w:p>
    <w:tbl>
      <w:tblPr>
        <w:tblStyle w:val="41"/>
        <w:tblpPr w:leftFromText="180" w:rightFromText="180" w:vertAnchor="text" w:horzAnchor="page" w:tblpX="1556" w:tblpY="19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1"/>
        <w:gridCol w:w="1156"/>
        <w:gridCol w:w="904"/>
        <w:gridCol w:w="1683"/>
        <w:gridCol w:w="787"/>
        <w:gridCol w:w="1690"/>
        <w:gridCol w:w="128"/>
        <w:gridCol w:w="787"/>
        <w:gridCol w:w="1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7" w:type="pct"/>
            <w:vMerge w:val="restart"/>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方法1</w:t>
            </w:r>
          </w:p>
        </w:tc>
        <w:tc>
          <w:tcPr>
            <w:tcW w:w="604" w:type="pct"/>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原料</w:t>
            </w:r>
          </w:p>
        </w:tc>
        <w:tc>
          <w:tcPr>
            <w:tcW w:w="472" w:type="pct"/>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生石灰</w:t>
            </w:r>
          </w:p>
        </w:tc>
        <w:tc>
          <w:tcPr>
            <w:tcW w:w="879" w:type="pct"/>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石硫合剂原液</w:t>
            </w:r>
          </w:p>
        </w:tc>
        <w:tc>
          <w:tcPr>
            <w:tcW w:w="411" w:type="pct"/>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食盐</w:t>
            </w:r>
          </w:p>
        </w:tc>
        <w:tc>
          <w:tcPr>
            <w:tcW w:w="950" w:type="pct"/>
            <w:gridSpan w:val="2"/>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动（植）物油</w:t>
            </w:r>
          </w:p>
        </w:tc>
        <w:tc>
          <w:tcPr>
            <w:tcW w:w="1415" w:type="pct"/>
            <w:gridSpan w:val="2"/>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267" w:type="pct"/>
            <w:vMerge w:val="continue"/>
            <w:noWrap w:val="0"/>
            <w:vAlign w:val="center"/>
          </w:tcPr>
          <w:p>
            <w:pPr>
              <w:tabs>
                <w:tab w:val="left" w:pos="1842"/>
              </w:tabs>
              <w:jc w:val="center"/>
              <w:outlineLvl w:val="0"/>
              <w:rPr>
                <w:rFonts w:hint="eastAsia" w:ascii="宋体" w:hAnsi="宋体" w:cs="宋体"/>
                <w:kern w:val="0"/>
                <w:sz w:val="18"/>
                <w:szCs w:val="18"/>
              </w:rPr>
            </w:pPr>
          </w:p>
        </w:tc>
        <w:tc>
          <w:tcPr>
            <w:tcW w:w="604" w:type="pct"/>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用量（kg）</w:t>
            </w:r>
          </w:p>
        </w:tc>
        <w:tc>
          <w:tcPr>
            <w:tcW w:w="472" w:type="pct"/>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10.0</w:t>
            </w:r>
          </w:p>
        </w:tc>
        <w:tc>
          <w:tcPr>
            <w:tcW w:w="879" w:type="pct"/>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1.0</w:t>
            </w:r>
          </w:p>
        </w:tc>
        <w:tc>
          <w:tcPr>
            <w:tcW w:w="411" w:type="pct"/>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1.0</w:t>
            </w:r>
          </w:p>
        </w:tc>
        <w:tc>
          <w:tcPr>
            <w:tcW w:w="950" w:type="pct"/>
            <w:gridSpan w:val="2"/>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0.5</w:t>
            </w:r>
          </w:p>
        </w:tc>
        <w:tc>
          <w:tcPr>
            <w:tcW w:w="1415" w:type="pct"/>
            <w:gridSpan w:val="2"/>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67" w:type="pct"/>
            <w:vMerge w:val="continue"/>
            <w:noWrap w:val="0"/>
            <w:vAlign w:val="center"/>
          </w:tcPr>
          <w:p>
            <w:pPr>
              <w:tabs>
                <w:tab w:val="left" w:pos="1842"/>
              </w:tabs>
              <w:jc w:val="center"/>
              <w:outlineLvl w:val="0"/>
              <w:rPr>
                <w:rFonts w:hint="eastAsia" w:ascii="宋体" w:hAnsi="宋体" w:cs="宋体"/>
                <w:kern w:val="0"/>
                <w:sz w:val="18"/>
                <w:szCs w:val="18"/>
              </w:rPr>
            </w:pPr>
          </w:p>
        </w:tc>
        <w:tc>
          <w:tcPr>
            <w:tcW w:w="604" w:type="pct"/>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配制方法</w:t>
            </w:r>
          </w:p>
        </w:tc>
        <w:tc>
          <w:tcPr>
            <w:tcW w:w="4128" w:type="pct"/>
            <w:gridSpan w:val="7"/>
            <w:noWrap w:val="0"/>
            <w:vAlign w:val="center"/>
          </w:tcPr>
          <w:p>
            <w:pPr>
              <w:tabs>
                <w:tab w:val="left" w:pos="1842"/>
              </w:tabs>
              <w:outlineLvl w:val="0"/>
              <w:rPr>
                <w:rFonts w:hint="eastAsia" w:ascii="宋体" w:hAnsi="宋体" w:cs="宋体"/>
                <w:kern w:val="0"/>
                <w:sz w:val="18"/>
                <w:szCs w:val="18"/>
              </w:rPr>
            </w:pPr>
            <w:r>
              <w:rPr>
                <w:rFonts w:hint="eastAsia" w:ascii="宋体" w:hAnsi="宋体" w:cs="宋体"/>
                <w:kern w:val="0"/>
                <w:sz w:val="18"/>
                <w:szCs w:val="18"/>
              </w:rPr>
              <w:t>将生石灰加水熟化，加入油脂，搅拌后加水，再倒入石硫合剂原液和盐水搅拌。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67" w:type="pct"/>
            <w:vMerge w:val="restart"/>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方法2</w:t>
            </w:r>
          </w:p>
        </w:tc>
        <w:tc>
          <w:tcPr>
            <w:tcW w:w="604" w:type="pct"/>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原料</w:t>
            </w:r>
          </w:p>
        </w:tc>
        <w:tc>
          <w:tcPr>
            <w:tcW w:w="472" w:type="pct"/>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生石灰</w:t>
            </w:r>
          </w:p>
        </w:tc>
        <w:tc>
          <w:tcPr>
            <w:tcW w:w="879" w:type="pct"/>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硫磺粉</w:t>
            </w:r>
          </w:p>
        </w:tc>
        <w:tc>
          <w:tcPr>
            <w:tcW w:w="411" w:type="pct"/>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食盐</w:t>
            </w:r>
          </w:p>
        </w:tc>
        <w:tc>
          <w:tcPr>
            <w:tcW w:w="883" w:type="pct"/>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动（植）物油</w:t>
            </w:r>
          </w:p>
        </w:tc>
        <w:tc>
          <w:tcPr>
            <w:tcW w:w="478" w:type="pct"/>
            <w:gridSpan w:val="2"/>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水</w:t>
            </w:r>
          </w:p>
        </w:tc>
        <w:tc>
          <w:tcPr>
            <w:tcW w:w="1003" w:type="pct"/>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洗衣粉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67" w:type="pct"/>
            <w:vMerge w:val="continue"/>
            <w:noWrap w:val="0"/>
            <w:vAlign w:val="center"/>
          </w:tcPr>
          <w:p>
            <w:pPr>
              <w:tabs>
                <w:tab w:val="left" w:pos="1842"/>
              </w:tabs>
              <w:jc w:val="center"/>
              <w:outlineLvl w:val="0"/>
              <w:rPr>
                <w:rFonts w:hint="eastAsia" w:ascii="宋体" w:hAnsi="宋体" w:cs="宋体"/>
                <w:kern w:val="0"/>
                <w:sz w:val="18"/>
                <w:szCs w:val="18"/>
              </w:rPr>
            </w:pPr>
          </w:p>
        </w:tc>
        <w:tc>
          <w:tcPr>
            <w:tcW w:w="604" w:type="pct"/>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用量（kg）</w:t>
            </w:r>
          </w:p>
        </w:tc>
        <w:tc>
          <w:tcPr>
            <w:tcW w:w="472" w:type="pct"/>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10.0</w:t>
            </w:r>
          </w:p>
        </w:tc>
        <w:tc>
          <w:tcPr>
            <w:tcW w:w="879" w:type="pct"/>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1.0</w:t>
            </w:r>
          </w:p>
        </w:tc>
        <w:tc>
          <w:tcPr>
            <w:tcW w:w="411" w:type="pct"/>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1.0</w:t>
            </w:r>
          </w:p>
        </w:tc>
        <w:tc>
          <w:tcPr>
            <w:tcW w:w="883" w:type="pct"/>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0.5</w:t>
            </w:r>
          </w:p>
        </w:tc>
        <w:tc>
          <w:tcPr>
            <w:tcW w:w="478" w:type="pct"/>
            <w:gridSpan w:val="2"/>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40.0</w:t>
            </w:r>
          </w:p>
        </w:tc>
        <w:tc>
          <w:tcPr>
            <w:tcW w:w="1003" w:type="pct"/>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0.08-0.12kg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7" w:type="pct"/>
            <w:vMerge w:val="continue"/>
            <w:noWrap w:val="0"/>
            <w:vAlign w:val="center"/>
          </w:tcPr>
          <w:p>
            <w:pPr>
              <w:tabs>
                <w:tab w:val="left" w:pos="1842"/>
              </w:tabs>
              <w:jc w:val="center"/>
              <w:outlineLvl w:val="0"/>
              <w:rPr>
                <w:rFonts w:hint="eastAsia" w:ascii="宋体" w:hAnsi="宋体" w:cs="宋体"/>
                <w:kern w:val="0"/>
                <w:sz w:val="18"/>
                <w:szCs w:val="18"/>
              </w:rPr>
            </w:pPr>
          </w:p>
        </w:tc>
        <w:tc>
          <w:tcPr>
            <w:tcW w:w="604" w:type="pct"/>
            <w:noWrap w:val="0"/>
            <w:vAlign w:val="center"/>
          </w:tcPr>
          <w:p>
            <w:pPr>
              <w:tabs>
                <w:tab w:val="left" w:pos="1842"/>
              </w:tabs>
              <w:jc w:val="center"/>
              <w:outlineLvl w:val="0"/>
              <w:rPr>
                <w:rFonts w:hint="eastAsia" w:ascii="宋体" w:hAnsi="宋体" w:cs="宋体"/>
                <w:kern w:val="0"/>
                <w:sz w:val="18"/>
                <w:szCs w:val="18"/>
              </w:rPr>
            </w:pPr>
            <w:r>
              <w:rPr>
                <w:rFonts w:hint="eastAsia" w:ascii="宋体" w:hAnsi="宋体" w:cs="宋体"/>
                <w:kern w:val="0"/>
                <w:sz w:val="18"/>
                <w:szCs w:val="18"/>
              </w:rPr>
              <w:t>配制方法</w:t>
            </w:r>
          </w:p>
        </w:tc>
        <w:tc>
          <w:tcPr>
            <w:tcW w:w="4128" w:type="pct"/>
            <w:gridSpan w:val="7"/>
            <w:noWrap w:val="0"/>
            <w:vAlign w:val="center"/>
          </w:tcPr>
          <w:p>
            <w:pPr>
              <w:tabs>
                <w:tab w:val="left" w:pos="1842"/>
              </w:tabs>
              <w:outlineLvl w:val="0"/>
              <w:rPr>
                <w:rFonts w:hint="eastAsia" w:ascii="宋体" w:hAnsi="宋体" w:cs="宋体"/>
                <w:kern w:val="0"/>
                <w:sz w:val="18"/>
                <w:szCs w:val="18"/>
              </w:rPr>
            </w:pPr>
            <w:r>
              <w:rPr>
                <w:rFonts w:hint="eastAsia" w:ascii="宋体" w:hAnsi="宋体" w:cs="宋体"/>
                <w:kern w:val="0"/>
                <w:sz w:val="18"/>
                <w:szCs w:val="18"/>
              </w:rPr>
              <w:t>先用40℃～50℃的热水分别将硫磺粉与食盐溶化，在硫磺粉溶液里加入洗衣粉80g～120g；将生石灰慢慢放入80℃～90℃的水中，搅动至充分溶化形成石灰乳，再将石灰乳和硫磺液混合，然后加入盐和油脂，充分搅匀。</w:t>
            </w:r>
          </w:p>
        </w:tc>
      </w:tr>
    </w:tbl>
    <w:p>
      <w:pPr>
        <w:spacing w:line="400" w:lineRule="exact"/>
        <w:rPr>
          <w:rFonts w:cs="宋体"/>
          <w:szCs w:val="21"/>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jc w:val="center"/>
        <w:rPr>
          <w:rFonts w:hint="eastAsia"/>
          <w:b/>
          <w:bCs/>
        </w:rPr>
      </w:pPr>
    </w:p>
    <w:p>
      <w:pPr>
        <w:pStyle w:val="110"/>
        <w:bidi w:val="0"/>
        <w:rPr>
          <w:rFonts w:hint="eastAsia"/>
          <w:lang w:val="en-US" w:eastAsia="zh-CN"/>
        </w:rPr>
      </w:pPr>
      <w:r>
        <w:rPr>
          <w:rFonts w:hint="eastAsia"/>
        </w:rPr>
        <w:t>附录</w:t>
      </w:r>
      <w:r>
        <w:rPr>
          <w:rFonts w:hint="eastAsia"/>
          <w:lang w:val="en-US" w:eastAsia="zh-CN"/>
        </w:rPr>
        <w:t>B</w:t>
      </w:r>
    </w:p>
    <w:p>
      <w:pPr>
        <w:jc w:val="center"/>
        <w:rPr>
          <w:rFonts w:hint="eastAsia" w:ascii="黑体" w:eastAsia="黑体"/>
          <w:kern w:val="0"/>
          <w:szCs w:val="21"/>
        </w:rPr>
      </w:pPr>
      <w:r>
        <w:rPr>
          <w:rFonts w:hint="eastAsia" w:ascii="黑体" w:eastAsia="黑体"/>
          <w:kern w:val="0"/>
          <w:szCs w:val="21"/>
        </w:rPr>
        <w:t xml:space="preserve"> (</w:t>
      </w:r>
      <w:r>
        <w:rPr>
          <w:rFonts w:hint="eastAsia" w:ascii="黑体" w:eastAsia="黑体"/>
          <w:kern w:val="0"/>
          <w:szCs w:val="21"/>
          <w:lang w:val="en-US" w:eastAsia="zh-CN"/>
        </w:rPr>
        <w:t>资料</w:t>
      </w:r>
      <w:r>
        <w:rPr>
          <w:rFonts w:hint="eastAsia" w:ascii="黑体" w:eastAsia="黑体"/>
          <w:kern w:val="0"/>
          <w:szCs w:val="21"/>
        </w:rPr>
        <w:t>性）</w:t>
      </w:r>
    </w:p>
    <w:p>
      <w:pPr>
        <w:jc w:val="center"/>
        <w:rPr>
          <w:rFonts w:hint="eastAsia" w:ascii="黑体" w:hAnsi="黑体" w:eastAsia="黑体" w:cs="黑体"/>
          <w:b w:val="0"/>
          <w:bCs w:val="0"/>
        </w:rPr>
      </w:pPr>
      <w:r>
        <w:rPr>
          <w:rFonts w:hint="eastAsia" w:ascii="黑体" w:hAnsi="黑体" w:eastAsia="黑体" w:cs="黑体"/>
          <w:b w:val="0"/>
          <w:bCs w:val="0"/>
        </w:rPr>
        <w:t>桃树主要虫害防控措施</w:t>
      </w:r>
    </w:p>
    <w:p>
      <w:pPr>
        <w:jc w:val="center"/>
        <w:rPr>
          <w:rFonts w:ascii="黑体" w:hAnsi="黑体" w:eastAsia="黑体" w:cs="黑体"/>
          <w:kern w:val="0"/>
          <w:szCs w:val="20"/>
        </w:rPr>
      </w:pPr>
      <w:r>
        <w:rPr>
          <w:rFonts w:hint="eastAsia" w:ascii="黑体" w:hAnsi="黑体" w:eastAsia="黑体" w:cs="黑体"/>
          <w:kern w:val="0"/>
          <w:szCs w:val="20"/>
          <w:lang w:eastAsia="zh-CN"/>
        </w:rPr>
        <w:t>表</w:t>
      </w:r>
      <w:r>
        <w:rPr>
          <w:rFonts w:hint="eastAsia" w:ascii="黑体" w:hAnsi="黑体" w:eastAsia="黑体" w:cs="黑体"/>
          <w:kern w:val="0"/>
          <w:szCs w:val="20"/>
          <w:lang w:val="en-US" w:eastAsia="zh-CN"/>
        </w:rPr>
        <w:t xml:space="preserve">A.2  </w:t>
      </w:r>
      <w:r>
        <w:rPr>
          <w:rFonts w:hint="eastAsia" w:ascii="黑体" w:hAnsi="黑体" w:eastAsia="黑体" w:cs="黑体"/>
          <w:kern w:val="0"/>
          <w:szCs w:val="20"/>
        </w:rPr>
        <w:t>桃树主要虫害防控措施</w:t>
      </w:r>
    </w:p>
    <w:tbl>
      <w:tblPr>
        <w:tblStyle w:val="41"/>
        <w:tblW w:w="5046" w:type="pct"/>
        <w:tblInd w:w="-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0"/>
        <w:gridCol w:w="2670"/>
        <w:gridCol w:w="1866"/>
        <w:gridCol w:w="4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vMerge w:val="restart"/>
            <w:noWrap w:val="0"/>
            <w:vAlign w:val="center"/>
          </w:tcPr>
          <w:p>
            <w:pPr>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主要</w:t>
            </w:r>
          </w:p>
          <w:p>
            <w:pPr>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虫害种类</w:t>
            </w:r>
          </w:p>
        </w:tc>
        <w:tc>
          <w:tcPr>
            <w:tcW w:w="1382" w:type="pct"/>
            <w:vMerge w:val="restart"/>
            <w:noWrap w:val="0"/>
            <w:vAlign w:val="center"/>
          </w:tcPr>
          <w:p>
            <w:pPr>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kern w:val="0"/>
                <w:sz w:val="18"/>
                <w:szCs w:val="18"/>
                <w:shd w:val="clear" w:color="auto" w:fill="FFFFFF"/>
              </w:rPr>
              <w:t>生物和物理防控措施</w:t>
            </w:r>
          </w:p>
        </w:tc>
        <w:tc>
          <w:tcPr>
            <w:tcW w:w="3089" w:type="pct"/>
            <w:gridSpan w:val="2"/>
            <w:noWrap w:val="0"/>
            <w:vAlign w:val="center"/>
          </w:tcPr>
          <w:p>
            <w:pPr>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kern w:val="0"/>
                <w:sz w:val="18"/>
                <w:szCs w:val="18"/>
                <w:shd w:val="clear" w:color="auto" w:fill="FFFFFF"/>
              </w:rPr>
              <w:t>化学防控措施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 w:type="pct"/>
            <w:vMerge w:val="continue"/>
            <w:noWrap w:val="0"/>
            <w:vAlign w:val="center"/>
          </w:tcPr>
          <w:p>
            <w:pPr>
              <w:jc w:val="center"/>
              <w:rPr>
                <w:rFonts w:hint="eastAsia" w:asciiTheme="minorEastAsia" w:hAnsiTheme="minorEastAsia" w:eastAsiaTheme="minorEastAsia" w:cstheme="minorEastAsia"/>
                <w:kern w:val="0"/>
                <w:sz w:val="18"/>
                <w:szCs w:val="18"/>
              </w:rPr>
            </w:pPr>
          </w:p>
        </w:tc>
        <w:tc>
          <w:tcPr>
            <w:tcW w:w="1382" w:type="pct"/>
            <w:vMerge w:val="continue"/>
            <w:noWrap w:val="0"/>
            <w:vAlign w:val="center"/>
          </w:tcPr>
          <w:p>
            <w:pPr>
              <w:jc w:val="center"/>
              <w:rPr>
                <w:rFonts w:hint="eastAsia" w:asciiTheme="minorEastAsia" w:hAnsiTheme="minorEastAsia" w:eastAsiaTheme="minorEastAsia" w:cstheme="minorEastAsia"/>
                <w:kern w:val="0"/>
                <w:sz w:val="18"/>
                <w:szCs w:val="18"/>
              </w:rPr>
            </w:pPr>
          </w:p>
        </w:tc>
        <w:tc>
          <w:tcPr>
            <w:tcW w:w="966" w:type="pct"/>
            <w:noWrap w:val="0"/>
            <w:vAlign w:val="center"/>
          </w:tcPr>
          <w:p>
            <w:pPr>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防治时间</w:t>
            </w:r>
          </w:p>
        </w:tc>
        <w:tc>
          <w:tcPr>
            <w:tcW w:w="2122" w:type="pct"/>
            <w:noWrap w:val="0"/>
            <w:vAlign w:val="center"/>
          </w:tcPr>
          <w:p>
            <w:pPr>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常用药剂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528" w:type="pct"/>
            <w:noWrap w:val="0"/>
            <w:vAlign w:val="center"/>
          </w:tcPr>
          <w:p>
            <w:pPr>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螨类</w:t>
            </w:r>
          </w:p>
        </w:tc>
        <w:tc>
          <w:tcPr>
            <w:tcW w:w="1382" w:type="pct"/>
            <w:noWrap w:val="0"/>
            <w:vAlign w:val="top"/>
          </w:tcPr>
          <w:p>
            <w:pPr>
              <w:numPr>
                <w:ilvl w:val="0"/>
                <w:numId w:val="0"/>
              </w:num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w:t>
            </w:r>
            <w:r>
              <w:rPr>
                <w:rFonts w:hint="eastAsia" w:asciiTheme="minorEastAsia" w:hAnsiTheme="minorEastAsia" w:eastAsiaTheme="minorEastAsia" w:cstheme="minorEastAsia"/>
                <w:kern w:val="0"/>
                <w:sz w:val="18"/>
                <w:szCs w:val="18"/>
              </w:rPr>
              <w:t>落叶后，结合刮病斑，刮出主干上及主枝老翘皮下的越冬雌成螨；</w:t>
            </w:r>
          </w:p>
          <w:p>
            <w:pPr>
              <w:numPr>
                <w:ilvl w:val="0"/>
                <w:numId w:val="0"/>
              </w:numP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rPr>
              <w:t>2.保护食螨瓢虫等</w:t>
            </w:r>
            <w:r>
              <w:rPr>
                <w:rFonts w:hint="eastAsia" w:asciiTheme="minorEastAsia" w:hAnsiTheme="minorEastAsia" w:eastAsiaTheme="minorEastAsia" w:cstheme="minorEastAsia"/>
                <w:kern w:val="0"/>
                <w:sz w:val="18"/>
                <w:szCs w:val="18"/>
                <w:lang w:eastAsia="zh-CN"/>
              </w:rPr>
              <w:t>。</w:t>
            </w:r>
          </w:p>
        </w:tc>
        <w:tc>
          <w:tcPr>
            <w:tcW w:w="966" w:type="pct"/>
            <w:noWrap w:val="0"/>
            <w:vAlign w:val="center"/>
          </w:tcPr>
          <w:p>
            <w:pPr>
              <w:jc w:val="both"/>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春季落花后和夏季高温干燥季节</w:t>
            </w:r>
          </w:p>
        </w:tc>
        <w:tc>
          <w:tcPr>
            <w:tcW w:w="2122" w:type="pct"/>
            <w:noWrap w:val="0"/>
            <w:vAlign w:val="top"/>
          </w:tcPr>
          <w:p>
            <w:pPr>
              <w:rPr>
                <w:rFonts w:hint="eastAsia" w:asciiTheme="minorEastAsia" w:hAnsiTheme="minorEastAsia" w:eastAsiaTheme="minorEastAsia" w:cstheme="minorEastAsia"/>
                <w:color w:val="000000"/>
                <w:kern w:val="0"/>
                <w:sz w:val="18"/>
                <w:szCs w:val="18"/>
                <w:shd w:val="clear" w:color="auto" w:fill="FFFFFF"/>
              </w:rPr>
            </w:pPr>
            <w:r>
              <w:rPr>
                <w:rFonts w:hint="eastAsia" w:asciiTheme="minorEastAsia" w:hAnsiTheme="minorEastAsia" w:eastAsiaTheme="minorEastAsia" w:cstheme="minorEastAsia"/>
                <w:color w:val="000000"/>
                <w:kern w:val="0"/>
                <w:sz w:val="18"/>
                <w:szCs w:val="18"/>
                <w:shd w:val="clear" w:color="auto" w:fill="FFFFFF"/>
              </w:rPr>
              <w:t>0.5%阿维·哒螨灵1000～2000倍液、四螨嗪3000～4000倍液、7.5%农螨丹750～1000倍液、73％克螨特6000～7000倍液、5%唑螨酯悬浮剂2000倍液、1.8%阿维菌素乳油750～1000倍液、5%噻螨酮乳油1500倍液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trPr>
        <w:tc>
          <w:tcPr>
            <w:tcW w:w="528" w:type="pct"/>
            <w:noWrap w:val="0"/>
            <w:vAlign w:val="center"/>
          </w:tcPr>
          <w:p>
            <w:pPr>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桃蚜</w:t>
            </w:r>
          </w:p>
        </w:tc>
        <w:tc>
          <w:tcPr>
            <w:tcW w:w="1382" w:type="pct"/>
            <w:noWrap w:val="0"/>
            <w:vAlign w:val="center"/>
          </w:tcPr>
          <w:p>
            <w:pPr>
              <w:jc w:val="both"/>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rPr>
              <w:t>1.冬季清园</w:t>
            </w:r>
            <w:r>
              <w:rPr>
                <w:rFonts w:hint="eastAsia" w:asciiTheme="minorEastAsia" w:hAnsiTheme="minorEastAsia" w:eastAsiaTheme="minorEastAsia" w:cstheme="minorEastAsia"/>
                <w:kern w:val="0"/>
                <w:sz w:val="18"/>
                <w:szCs w:val="18"/>
                <w:lang w:eastAsia="zh-CN"/>
              </w:rPr>
              <w:t>；</w:t>
            </w:r>
          </w:p>
          <w:p>
            <w:pPr>
              <w:jc w:val="both"/>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rPr>
              <w:t>2.保护瓢虫、草蛉等蚜虫天敌</w:t>
            </w:r>
            <w:r>
              <w:rPr>
                <w:rFonts w:hint="eastAsia" w:asciiTheme="minorEastAsia" w:hAnsiTheme="minorEastAsia" w:eastAsiaTheme="minorEastAsia" w:cstheme="minorEastAsia"/>
                <w:kern w:val="0"/>
                <w:sz w:val="18"/>
                <w:szCs w:val="18"/>
                <w:lang w:eastAsia="zh-CN"/>
              </w:rPr>
              <w:t>。</w:t>
            </w:r>
          </w:p>
        </w:tc>
        <w:tc>
          <w:tcPr>
            <w:tcW w:w="966" w:type="pct"/>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萌芽前至落花后</w:t>
            </w:r>
          </w:p>
        </w:tc>
        <w:tc>
          <w:tcPr>
            <w:tcW w:w="2122" w:type="pct"/>
            <w:noWrap w:val="0"/>
            <w:vAlign w:val="top"/>
          </w:tcPr>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kern w:val="0"/>
                <w:sz w:val="18"/>
                <w:szCs w:val="18"/>
                <w:shd w:val="clear" w:color="auto" w:fill="FFFFFF"/>
              </w:rPr>
              <w:t>0.5﹪苦参碱水剂1000</w:t>
            </w:r>
            <w:r>
              <w:rPr>
                <w:rFonts w:hint="eastAsia" w:asciiTheme="minorEastAsia" w:hAnsiTheme="minorEastAsia" w:eastAsiaTheme="minorEastAsia" w:cstheme="minorEastAsia"/>
                <w:sz w:val="18"/>
                <w:szCs w:val="18"/>
              </w:rPr>
              <w:t>～</w:t>
            </w:r>
            <w:r>
              <w:rPr>
                <w:rFonts w:hint="eastAsia" w:asciiTheme="minorEastAsia" w:hAnsiTheme="minorEastAsia" w:eastAsiaTheme="minorEastAsia" w:cstheme="minorEastAsia"/>
                <w:color w:val="000000"/>
                <w:kern w:val="0"/>
                <w:sz w:val="18"/>
                <w:szCs w:val="18"/>
                <w:shd w:val="clear" w:color="auto" w:fill="FFFFFF"/>
              </w:rPr>
              <w:t>2000倍液</w:t>
            </w:r>
            <w:r>
              <w:rPr>
                <w:rFonts w:hint="eastAsia" w:asciiTheme="minorEastAsia" w:hAnsiTheme="minorEastAsia" w:eastAsiaTheme="minorEastAsia" w:cstheme="minorEastAsia"/>
                <w:kern w:val="0"/>
                <w:sz w:val="18"/>
                <w:szCs w:val="18"/>
              </w:rPr>
              <w:t>、</w:t>
            </w:r>
            <w:r>
              <w:rPr>
                <w:rFonts w:hint="eastAsia" w:asciiTheme="minorEastAsia" w:hAnsiTheme="minorEastAsia" w:eastAsiaTheme="minorEastAsia" w:cstheme="minorEastAsia"/>
                <w:color w:val="000000"/>
                <w:kern w:val="0"/>
                <w:sz w:val="18"/>
                <w:szCs w:val="18"/>
                <w:shd w:val="clear" w:color="auto" w:fill="FFFFFF"/>
              </w:rPr>
              <w:t>22.4%螺虫乙酯3000～4000倍液、10%吡虫啉2000～3000倍液、10%吡虫啉可湿性粉剂、2.5%溴氰菊酯2000倍液、10%氯氰菊酯12000倍液、2.5%功夫菊酯2000倍液、5%来福乳油2000倍液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6" w:hRule="atLeast"/>
        </w:trPr>
        <w:tc>
          <w:tcPr>
            <w:tcW w:w="528" w:type="pct"/>
            <w:noWrap w:val="0"/>
            <w:vAlign w:val="center"/>
          </w:tcPr>
          <w:p>
            <w:pPr>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桑白蚧</w:t>
            </w:r>
          </w:p>
        </w:tc>
        <w:tc>
          <w:tcPr>
            <w:tcW w:w="1382" w:type="pct"/>
            <w:noWrap w:val="0"/>
            <w:vAlign w:val="top"/>
          </w:tcPr>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1.休眠期用硬毛刷刷掉枝条上的越冬雌成虫，剪除受害枝条深埋；</w:t>
            </w:r>
          </w:p>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2.保护红点唇瓢虫、黑缘红瓢虫、日本方头甲寄生蜂等天敌生物。</w:t>
            </w:r>
          </w:p>
        </w:tc>
        <w:tc>
          <w:tcPr>
            <w:tcW w:w="966" w:type="pct"/>
            <w:noWrap w:val="0"/>
            <w:vAlign w:val="center"/>
          </w:tcPr>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各代</w:t>
            </w:r>
            <w:r>
              <w:rPr>
                <w:rFonts w:hint="eastAsia" w:asciiTheme="minorEastAsia" w:hAnsiTheme="minorEastAsia" w:eastAsiaTheme="minorEastAsia" w:cstheme="minorEastAsia"/>
                <w:color w:val="000000"/>
                <w:kern w:val="0"/>
                <w:sz w:val="18"/>
                <w:szCs w:val="18"/>
                <w:shd w:val="clear" w:color="auto" w:fill="FFFFFF"/>
              </w:rPr>
              <w:t>幼虫出壳尚未分泌蜡粉之前，萌芽前至立夏前后</w:t>
            </w:r>
          </w:p>
        </w:tc>
        <w:tc>
          <w:tcPr>
            <w:tcW w:w="2122" w:type="pct"/>
            <w:noWrap w:val="0"/>
            <w:vAlign w:val="top"/>
          </w:tcPr>
          <w:p>
            <w:pPr>
              <w:rPr>
                <w:rFonts w:hint="eastAsia" w:asciiTheme="minorEastAsia" w:hAnsiTheme="minorEastAsia" w:eastAsiaTheme="minorEastAsia" w:cstheme="minorEastAsia"/>
                <w:color w:val="000000"/>
                <w:kern w:val="0"/>
                <w:sz w:val="18"/>
                <w:szCs w:val="18"/>
                <w:shd w:val="clear" w:color="auto" w:fill="FFFFFF"/>
              </w:rPr>
            </w:pPr>
            <w:r>
              <w:rPr>
                <w:rFonts w:hint="eastAsia" w:asciiTheme="minorEastAsia" w:hAnsiTheme="minorEastAsia" w:eastAsiaTheme="minorEastAsia" w:cstheme="minorEastAsia"/>
                <w:color w:val="000000"/>
                <w:kern w:val="0"/>
                <w:sz w:val="18"/>
                <w:szCs w:val="18"/>
                <w:shd w:val="clear" w:color="auto" w:fill="FFFFFF"/>
              </w:rPr>
              <w:t>10%甲氰菊酯2000～3000倍液、10%氯氰菊酯2000～3000倍液、10%吡虫啉可湿性粉剂5000倍液、2.5%高效氯氰菊酯1000倍液、30%克蚧灵乳油1500倍液、20%甲氰菊酯乳油2000倍液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trPr>
        <w:tc>
          <w:tcPr>
            <w:tcW w:w="528" w:type="pct"/>
            <w:noWrap w:val="0"/>
            <w:vAlign w:val="center"/>
          </w:tcPr>
          <w:p>
            <w:pPr>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食心虫</w:t>
            </w:r>
          </w:p>
        </w:tc>
        <w:tc>
          <w:tcPr>
            <w:tcW w:w="1382" w:type="pct"/>
            <w:noWrap w:val="0"/>
            <w:vAlign w:val="top"/>
          </w:tcPr>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1.及时剪除虫梢、深埋虫果，8月下旬在树上绑草把诱集越冬幼虫，早春萌芽前解下深埋；</w:t>
            </w:r>
          </w:p>
          <w:p>
            <w:pP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rPr>
              <w:t>2.利用糖醋酒液和性诱剂防治成虫</w:t>
            </w:r>
            <w:r>
              <w:rPr>
                <w:rFonts w:hint="eastAsia" w:asciiTheme="minorEastAsia" w:hAnsiTheme="minorEastAsia" w:eastAsiaTheme="minorEastAsia" w:cstheme="minorEastAsia"/>
                <w:kern w:val="0"/>
                <w:sz w:val="18"/>
                <w:szCs w:val="18"/>
                <w:lang w:eastAsia="zh-CN"/>
              </w:rPr>
              <w:t>；</w:t>
            </w:r>
          </w:p>
          <w:p>
            <w:pPr>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rPr>
              <w:t>3.保护利用天敌生物，在1-2代卵期释放赤眼蜂</w:t>
            </w:r>
            <w:r>
              <w:rPr>
                <w:rFonts w:hint="eastAsia" w:asciiTheme="minorEastAsia" w:hAnsiTheme="minorEastAsia" w:eastAsiaTheme="minorEastAsia" w:cstheme="minorEastAsia"/>
                <w:kern w:val="0"/>
                <w:sz w:val="18"/>
                <w:szCs w:val="18"/>
                <w:lang w:eastAsia="zh-CN"/>
              </w:rPr>
              <w:t>。</w:t>
            </w:r>
          </w:p>
        </w:tc>
        <w:tc>
          <w:tcPr>
            <w:tcW w:w="966" w:type="pct"/>
            <w:noWrap w:val="0"/>
            <w:vAlign w:val="center"/>
          </w:tcPr>
          <w:p>
            <w:pPr>
              <w:jc w:val="both"/>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花前花后至果实幼果期</w:t>
            </w:r>
          </w:p>
        </w:tc>
        <w:tc>
          <w:tcPr>
            <w:tcW w:w="2122" w:type="pct"/>
            <w:noWrap w:val="0"/>
            <w:vAlign w:val="top"/>
          </w:tcPr>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10%氯氟氰菊酯2000~3000倍液、10%阿维﹒灭幼脲1000~1500倍液、</w:t>
            </w:r>
          </w:p>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50%辛硫磷2000~2500倍液、Bt乳剂600倍液、</w:t>
            </w:r>
            <w:r>
              <w:rPr>
                <w:rFonts w:hint="eastAsia" w:asciiTheme="minorEastAsia" w:hAnsiTheme="minorEastAsia" w:eastAsiaTheme="minorEastAsia" w:cstheme="minorEastAsia"/>
                <w:color w:val="000000"/>
                <w:kern w:val="0"/>
                <w:sz w:val="18"/>
                <w:szCs w:val="18"/>
                <w:shd w:val="clear" w:color="auto" w:fill="FFFFFF"/>
              </w:rPr>
              <w:t>10%氯氰菊酯2000～3000倍液、20%杀灭菊酯乳油3000倍液、</w:t>
            </w:r>
            <w:r>
              <w:rPr>
                <w:rFonts w:hint="eastAsia" w:asciiTheme="minorEastAsia" w:hAnsiTheme="minorEastAsia" w:eastAsiaTheme="minorEastAsia" w:cstheme="minorEastAsia"/>
                <w:kern w:val="0"/>
                <w:sz w:val="18"/>
                <w:szCs w:val="18"/>
              </w:rPr>
              <w:t>2.5%功夫菊酯2000倍液、</w:t>
            </w:r>
            <w:r>
              <w:rPr>
                <w:rFonts w:hint="eastAsia" w:asciiTheme="minorEastAsia" w:hAnsiTheme="minorEastAsia" w:eastAsiaTheme="minorEastAsia" w:cstheme="minorEastAsia"/>
                <w:sz w:val="18"/>
                <w:szCs w:val="18"/>
              </w:rPr>
              <w:t>50%杀螟松1000倍液、20%氰戊菊酯2000倍液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28" w:type="pct"/>
            <w:vMerge w:val="restart"/>
            <w:noWrap w:val="0"/>
            <w:vAlign w:val="center"/>
          </w:tcPr>
          <w:p>
            <w:pPr>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桃蛀螟</w:t>
            </w:r>
          </w:p>
        </w:tc>
        <w:tc>
          <w:tcPr>
            <w:tcW w:w="1382" w:type="pct"/>
            <w:vMerge w:val="restart"/>
            <w:noWrap w:val="0"/>
            <w:vAlign w:val="top"/>
          </w:tcPr>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1.越冬幼虫化蛹前，清除田间寄主植物残体，刮除树干翘皮深埋，清除越冬幼虫；</w:t>
            </w:r>
          </w:p>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2.果实套袋；</w:t>
            </w:r>
          </w:p>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3.在桃园内点黑光灯或用糖、醋液诱杀成虫，可结合诱杀梨小食心虫进行；</w:t>
            </w:r>
          </w:p>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4.清除落果和虫果，消灭果内幼虫。</w:t>
            </w:r>
          </w:p>
        </w:tc>
        <w:tc>
          <w:tcPr>
            <w:tcW w:w="966" w:type="pct"/>
            <w:noWrap w:val="0"/>
            <w:vAlign w:val="center"/>
          </w:tcPr>
          <w:p>
            <w:pPr>
              <w:jc w:val="lef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花前，花后及幼果期</w:t>
            </w:r>
          </w:p>
        </w:tc>
        <w:tc>
          <w:tcPr>
            <w:tcW w:w="2122" w:type="pct"/>
            <w:noWrap w:val="0"/>
            <w:vAlign w:val="top"/>
          </w:tcPr>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50%磷胺乳油1000~2000倍、20%氰戊菊酯2000倍液、5.7%氟氯氰菊酯4000倍液、2.5%功夫菊酯2000倍液、50%杀螟松乳剂1000倍液</w:t>
            </w:r>
          </w:p>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2.5%溴氰菊酯乳油3000倍液喷雾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28" w:type="pct"/>
            <w:vMerge w:val="continue"/>
            <w:noWrap w:val="0"/>
            <w:vAlign w:val="center"/>
          </w:tcPr>
          <w:p>
            <w:pPr>
              <w:jc w:val="center"/>
              <w:rPr>
                <w:rFonts w:hint="eastAsia" w:asciiTheme="minorEastAsia" w:hAnsiTheme="minorEastAsia" w:eastAsiaTheme="minorEastAsia" w:cstheme="minorEastAsia"/>
                <w:kern w:val="0"/>
                <w:sz w:val="18"/>
                <w:szCs w:val="18"/>
              </w:rPr>
            </w:pPr>
          </w:p>
        </w:tc>
        <w:tc>
          <w:tcPr>
            <w:tcW w:w="1382" w:type="pct"/>
            <w:vMerge w:val="continue"/>
            <w:noWrap w:val="0"/>
            <w:vAlign w:val="top"/>
          </w:tcPr>
          <w:p>
            <w:pPr>
              <w:rPr>
                <w:rFonts w:hint="eastAsia" w:asciiTheme="minorEastAsia" w:hAnsiTheme="minorEastAsia" w:eastAsiaTheme="minorEastAsia" w:cstheme="minorEastAsia"/>
                <w:sz w:val="18"/>
                <w:szCs w:val="18"/>
              </w:rPr>
            </w:pPr>
          </w:p>
        </w:tc>
        <w:tc>
          <w:tcPr>
            <w:tcW w:w="966" w:type="pct"/>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采收前</w:t>
            </w:r>
          </w:p>
        </w:tc>
        <w:tc>
          <w:tcPr>
            <w:tcW w:w="2122" w:type="pct"/>
            <w:noWrap w:val="0"/>
            <w:vAlign w:val="top"/>
          </w:tcPr>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喷洒50%辛硫磷1000倍，</w:t>
            </w:r>
          </w:p>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阿维菌素6000倍</w:t>
            </w:r>
          </w:p>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25%灭幼脲1500~2500倍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528" w:type="pct"/>
            <w:noWrap w:val="0"/>
            <w:vAlign w:val="center"/>
          </w:tcPr>
          <w:p>
            <w:pPr>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卷叶蛾</w:t>
            </w:r>
          </w:p>
        </w:tc>
        <w:tc>
          <w:tcPr>
            <w:tcW w:w="1382" w:type="pct"/>
            <w:noWrap w:val="0"/>
            <w:vAlign w:val="top"/>
          </w:tcPr>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1.人工摘除卷叶，将虫体捏死；</w:t>
            </w:r>
          </w:p>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2.在成虫发生期，利用糖醋液进行诱杀</w:t>
            </w:r>
            <w:r>
              <w:rPr>
                <w:rFonts w:hint="eastAsia" w:asciiTheme="minorEastAsia" w:hAnsiTheme="minorEastAsia" w:eastAsiaTheme="minorEastAsia" w:cstheme="minorEastAsia"/>
                <w:kern w:val="0"/>
                <w:sz w:val="18"/>
                <w:szCs w:val="18"/>
                <w:lang w:eastAsia="zh-CN"/>
              </w:rPr>
              <w:t>，</w:t>
            </w:r>
            <w:r>
              <w:rPr>
                <w:rFonts w:hint="eastAsia" w:asciiTheme="minorEastAsia" w:hAnsiTheme="minorEastAsia" w:eastAsiaTheme="minorEastAsia" w:cstheme="minorEastAsia"/>
                <w:kern w:val="0"/>
                <w:sz w:val="18"/>
                <w:szCs w:val="18"/>
              </w:rPr>
              <w:t>用糖5份、酒5份、水80份配成；</w:t>
            </w:r>
          </w:p>
          <w:p>
            <w:pPr>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kern w:val="0"/>
                <w:sz w:val="18"/>
                <w:szCs w:val="18"/>
              </w:rPr>
              <w:t>3.放置诱捕器</w:t>
            </w:r>
            <w:r>
              <w:rPr>
                <w:rFonts w:hint="eastAsia" w:asciiTheme="minorEastAsia" w:hAnsiTheme="minorEastAsia" w:eastAsiaTheme="minorEastAsia" w:cstheme="minorEastAsia"/>
                <w:kern w:val="0"/>
                <w:sz w:val="18"/>
                <w:szCs w:val="18"/>
                <w:lang w:eastAsia="zh-CN"/>
              </w:rPr>
              <w:t>。</w:t>
            </w:r>
          </w:p>
        </w:tc>
        <w:tc>
          <w:tcPr>
            <w:tcW w:w="966" w:type="pct"/>
            <w:noWrap w:val="0"/>
            <w:vAlign w:val="center"/>
          </w:tcPr>
          <w:p>
            <w:pPr>
              <w:jc w:val="both"/>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花前和花后，及发生期</w:t>
            </w:r>
          </w:p>
        </w:tc>
        <w:tc>
          <w:tcPr>
            <w:tcW w:w="2122" w:type="pct"/>
            <w:noWrap w:val="0"/>
            <w:vAlign w:val="top"/>
          </w:tcPr>
          <w:p>
            <w:pP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75%辛硫磷1000倍液喷杀幼虫、48%毒死蜱1000倍液、50%杀螟松1000倍液、2.5%氟氯氰菊酯3000～3500倍液、20%氰戊菊酯3000～3500倍液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528" w:type="pct"/>
            <w:tcBorders>
              <w:bottom w:val="single" w:color="auto" w:sz="4" w:space="0"/>
            </w:tcBorders>
            <w:noWrap w:val="0"/>
            <w:vAlign w:val="center"/>
          </w:tcPr>
          <w:p>
            <w:pPr>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潜叶蛾</w:t>
            </w:r>
          </w:p>
          <w:p>
            <w:pPr>
              <w:jc w:val="center"/>
              <w:rPr>
                <w:rFonts w:hint="eastAsia" w:asciiTheme="minorEastAsia" w:hAnsiTheme="minorEastAsia" w:eastAsiaTheme="minorEastAsia" w:cstheme="minorEastAsia"/>
                <w:kern w:val="0"/>
                <w:sz w:val="18"/>
                <w:szCs w:val="18"/>
              </w:rPr>
            </w:pPr>
          </w:p>
          <w:p>
            <w:pPr>
              <w:jc w:val="center"/>
              <w:rPr>
                <w:rFonts w:hint="eastAsia" w:asciiTheme="minorEastAsia" w:hAnsiTheme="minorEastAsia" w:eastAsiaTheme="minorEastAsia" w:cstheme="minorEastAsia"/>
                <w:kern w:val="0"/>
                <w:sz w:val="18"/>
                <w:szCs w:val="18"/>
              </w:rPr>
            </w:pPr>
          </w:p>
        </w:tc>
        <w:tc>
          <w:tcPr>
            <w:tcW w:w="1382" w:type="pct"/>
            <w:tcBorders>
              <w:bottom w:val="single" w:color="auto" w:sz="4" w:space="0"/>
            </w:tcBorders>
            <w:noWrap w:val="0"/>
            <w:vAlign w:val="top"/>
          </w:tcPr>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1.在越冬代成虫羽化前，彻底清除桃园内的落叶和杂草，集中烧毁消灭越冬蛹和成虫；生长季摘除叶片，杀死幼虫；</w:t>
            </w:r>
          </w:p>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2.放置诱捕器。</w:t>
            </w:r>
          </w:p>
        </w:tc>
        <w:tc>
          <w:tcPr>
            <w:tcW w:w="966" w:type="pct"/>
            <w:noWrap w:val="0"/>
            <w:vAlign w:val="center"/>
          </w:tcPr>
          <w:p>
            <w:pPr>
              <w:jc w:val="both"/>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花前和花后，及发生期</w:t>
            </w:r>
          </w:p>
        </w:tc>
        <w:tc>
          <w:tcPr>
            <w:tcW w:w="2122" w:type="pct"/>
            <w:tcBorders>
              <w:bottom w:val="single" w:color="auto" w:sz="4" w:space="0"/>
            </w:tcBorders>
            <w:noWrap w:val="0"/>
            <w:vAlign w:val="top"/>
          </w:tcPr>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25灭幼脲3号悬浮剂8000倍液、2.5%溴氰菊酯3000倍液、50%氟啶虫胺腈10000~15000倍液、</w:t>
            </w:r>
            <w:r>
              <w:rPr>
                <w:rFonts w:hint="eastAsia" w:asciiTheme="minorEastAsia" w:hAnsiTheme="minorEastAsia" w:eastAsiaTheme="minorEastAsia" w:cstheme="minorEastAsia"/>
                <w:sz w:val="18"/>
                <w:szCs w:val="18"/>
              </w:rPr>
              <w:t>75%吡蚜·螺虫酯4000~6000倍液</w:t>
            </w:r>
            <w:r>
              <w:rPr>
                <w:rFonts w:hint="eastAsia" w:asciiTheme="minorEastAsia" w:hAnsiTheme="minorEastAsia" w:eastAsiaTheme="minorEastAsia" w:cstheme="minorEastAsia"/>
                <w:kern w:val="0"/>
                <w:sz w:val="18"/>
                <w:szCs w:val="18"/>
              </w:rPr>
              <w:t>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528" w:type="pct"/>
            <w:noWrap w:val="0"/>
            <w:vAlign w:val="center"/>
          </w:tcPr>
          <w:p>
            <w:pPr>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桃红颈</w:t>
            </w:r>
          </w:p>
          <w:p>
            <w:pPr>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天牛</w:t>
            </w:r>
          </w:p>
        </w:tc>
        <w:tc>
          <w:tcPr>
            <w:tcW w:w="1382" w:type="pct"/>
            <w:noWrap w:val="0"/>
            <w:vAlign w:val="top"/>
          </w:tcPr>
          <w:p>
            <w:pPr>
              <w:numPr>
                <w:ilvl w:val="0"/>
                <w:numId w:val="0"/>
              </w:num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w:t>
            </w:r>
            <w:r>
              <w:rPr>
                <w:rFonts w:hint="eastAsia" w:asciiTheme="minorEastAsia" w:hAnsiTheme="minorEastAsia" w:eastAsiaTheme="minorEastAsia" w:cstheme="minorEastAsia"/>
                <w:kern w:val="0"/>
                <w:sz w:val="18"/>
                <w:szCs w:val="18"/>
              </w:rPr>
              <w:t>人工挖杀幼虫、捕捉成虫；</w:t>
            </w:r>
          </w:p>
          <w:p>
            <w:pPr>
              <w:numPr>
                <w:ilvl w:val="0"/>
                <w:numId w:val="0"/>
              </w:num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w:t>
            </w:r>
            <w:r>
              <w:rPr>
                <w:rFonts w:hint="eastAsia" w:asciiTheme="minorEastAsia" w:hAnsiTheme="minorEastAsia" w:eastAsiaTheme="minorEastAsia" w:cstheme="minorEastAsia"/>
                <w:kern w:val="0"/>
                <w:sz w:val="18"/>
                <w:szCs w:val="18"/>
              </w:rPr>
              <w:t>利用糖醋酒液诱杀成虫；3.树干涂白或绑纱网趋避产卵；</w:t>
            </w:r>
          </w:p>
          <w:p>
            <w:pPr>
              <w:numPr>
                <w:ilvl w:val="0"/>
                <w:numId w:val="0"/>
              </w:num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4.生物防治，保护管氏肿腿蜂。</w:t>
            </w:r>
          </w:p>
        </w:tc>
        <w:tc>
          <w:tcPr>
            <w:tcW w:w="966" w:type="pct"/>
            <w:noWrap w:val="0"/>
            <w:vAlign w:val="center"/>
          </w:tcPr>
          <w:p>
            <w:pPr>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夏季</w:t>
            </w:r>
          </w:p>
        </w:tc>
        <w:tc>
          <w:tcPr>
            <w:tcW w:w="2122" w:type="pct"/>
            <w:noWrap w:val="0"/>
            <w:vAlign w:val="top"/>
          </w:tcPr>
          <w:p>
            <w:pP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氯氟氰菊酯微胶囊悬浮剂树体悬挂或喷施2.5%功夫菊酯3000倍液</w:t>
            </w:r>
          </w:p>
        </w:tc>
      </w:tr>
    </w:tbl>
    <w:p>
      <w:pPr>
        <w:spacing w:line="400" w:lineRule="exact"/>
        <w:rPr>
          <w:rFonts w:cs="宋体"/>
          <w:szCs w:val="21"/>
        </w:rPr>
      </w:pPr>
    </w:p>
    <w:p>
      <w:pPr>
        <w:pStyle w:val="2"/>
        <w:rPr>
          <w:rFonts w:cs="宋体"/>
          <w:szCs w:val="21"/>
        </w:rPr>
      </w:pPr>
    </w:p>
    <w:p>
      <w:pPr>
        <w:pStyle w:val="2"/>
        <w:rPr>
          <w:rFonts w:cs="宋体"/>
          <w:szCs w:val="21"/>
        </w:rPr>
      </w:pPr>
    </w:p>
    <w:p>
      <w:pPr>
        <w:pStyle w:val="2"/>
        <w:rPr>
          <w:rFonts w:cs="宋体"/>
          <w:szCs w:val="21"/>
        </w:rPr>
      </w:pPr>
    </w:p>
    <w:p>
      <w:pPr>
        <w:pStyle w:val="2"/>
        <w:rPr>
          <w:rFonts w:cs="宋体"/>
          <w:szCs w:val="21"/>
        </w:rPr>
      </w:pPr>
    </w:p>
    <w:p>
      <w:pPr>
        <w:pStyle w:val="2"/>
        <w:rPr>
          <w:rFonts w:cs="宋体"/>
          <w:szCs w:val="21"/>
        </w:rPr>
      </w:pPr>
    </w:p>
    <w:p>
      <w:pPr>
        <w:pStyle w:val="2"/>
        <w:rPr>
          <w:rFonts w:cs="宋体"/>
          <w:szCs w:val="21"/>
        </w:rPr>
      </w:pPr>
    </w:p>
    <w:p>
      <w:pPr>
        <w:pStyle w:val="2"/>
        <w:rPr>
          <w:rFonts w:cs="宋体"/>
          <w:szCs w:val="21"/>
        </w:rPr>
      </w:pPr>
    </w:p>
    <w:p>
      <w:pPr>
        <w:pStyle w:val="2"/>
        <w:rPr>
          <w:rFonts w:cs="宋体"/>
          <w:szCs w:val="21"/>
        </w:rPr>
      </w:pPr>
    </w:p>
    <w:p>
      <w:pPr>
        <w:pStyle w:val="2"/>
        <w:rPr>
          <w:rFonts w:cs="宋体"/>
          <w:szCs w:val="21"/>
        </w:rPr>
      </w:pPr>
    </w:p>
    <w:p>
      <w:pPr>
        <w:pStyle w:val="2"/>
        <w:rPr>
          <w:rFonts w:cs="宋体"/>
          <w:szCs w:val="21"/>
        </w:rPr>
      </w:pPr>
    </w:p>
    <w:p>
      <w:pPr>
        <w:pStyle w:val="2"/>
        <w:rPr>
          <w:rFonts w:cs="宋体"/>
          <w:szCs w:val="21"/>
        </w:rPr>
      </w:pPr>
    </w:p>
    <w:p>
      <w:pPr>
        <w:pStyle w:val="2"/>
        <w:rPr>
          <w:rFonts w:cs="宋体"/>
          <w:szCs w:val="21"/>
        </w:rPr>
      </w:pPr>
    </w:p>
    <w:p>
      <w:pPr>
        <w:pStyle w:val="2"/>
        <w:rPr>
          <w:rFonts w:cs="宋体"/>
          <w:szCs w:val="21"/>
        </w:rPr>
      </w:pPr>
    </w:p>
    <w:p>
      <w:pPr>
        <w:pStyle w:val="2"/>
        <w:rPr>
          <w:rFonts w:cs="宋体"/>
          <w:szCs w:val="21"/>
        </w:rPr>
      </w:pPr>
    </w:p>
    <w:p>
      <w:pPr>
        <w:pStyle w:val="2"/>
        <w:rPr>
          <w:rFonts w:cs="宋体"/>
          <w:szCs w:val="21"/>
        </w:rPr>
      </w:pPr>
    </w:p>
    <w:p>
      <w:pPr>
        <w:pStyle w:val="2"/>
        <w:rPr>
          <w:rFonts w:cs="宋体"/>
          <w:szCs w:val="21"/>
        </w:rPr>
      </w:pPr>
    </w:p>
    <w:p>
      <w:pPr>
        <w:pStyle w:val="2"/>
        <w:rPr>
          <w:rFonts w:cs="宋体"/>
          <w:szCs w:val="21"/>
        </w:rPr>
      </w:pPr>
    </w:p>
    <w:p>
      <w:pPr>
        <w:pStyle w:val="2"/>
        <w:rPr>
          <w:rFonts w:cs="宋体"/>
          <w:szCs w:val="21"/>
        </w:rPr>
      </w:pPr>
    </w:p>
    <w:p>
      <w:pPr>
        <w:pStyle w:val="2"/>
        <w:rPr>
          <w:rFonts w:cs="宋体"/>
          <w:szCs w:val="21"/>
        </w:rPr>
      </w:pPr>
    </w:p>
    <w:p>
      <w:pPr>
        <w:pStyle w:val="2"/>
        <w:rPr>
          <w:rFonts w:cs="宋体"/>
          <w:szCs w:val="21"/>
        </w:rPr>
      </w:pPr>
    </w:p>
    <w:p>
      <w:pPr>
        <w:pStyle w:val="2"/>
        <w:rPr>
          <w:rFonts w:cs="宋体"/>
          <w:szCs w:val="21"/>
        </w:rPr>
      </w:pPr>
    </w:p>
    <w:p>
      <w:pPr>
        <w:pStyle w:val="2"/>
        <w:rPr>
          <w:rFonts w:cs="宋体"/>
          <w:szCs w:val="21"/>
        </w:rPr>
      </w:pPr>
    </w:p>
    <w:p>
      <w:pPr>
        <w:pStyle w:val="2"/>
        <w:rPr>
          <w:rFonts w:cs="宋体"/>
          <w:szCs w:val="21"/>
        </w:rPr>
      </w:pPr>
    </w:p>
    <w:p>
      <w:pPr>
        <w:pStyle w:val="2"/>
        <w:rPr>
          <w:rFonts w:cs="宋体"/>
          <w:szCs w:val="21"/>
        </w:rPr>
      </w:pPr>
    </w:p>
    <w:p>
      <w:pPr>
        <w:pStyle w:val="2"/>
        <w:rPr>
          <w:rFonts w:cs="宋体"/>
          <w:szCs w:val="21"/>
        </w:rPr>
      </w:pPr>
    </w:p>
    <w:p>
      <w:pPr>
        <w:pStyle w:val="2"/>
        <w:rPr>
          <w:rFonts w:cs="宋体"/>
          <w:szCs w:val="21"/>
        </w:rPr>
      </w:pPr>
    </w:p>
    <w:p>
      <w:pPr>
        <w:pStyle w:val="2"/>
        <w:rPr>
          <w:rFonts w:cs="宋体"/>
          <w:szCs w:val="21"/>
        </w:rPr>
      </w:pPr>
    </w:p>
    <w:p>
      <w:pPr>
        <w:pStyle w:val="2"/>
        <w:rPr>
          <w:rFonts w:cs="宋体"/>
          <w:szCs w:val="21"/>
        </w:rPr>
      </w:pPr>
    </w:p>
    <w:p>
      <w:pPr>
        <w:pStyle w:val="2"/>
        <w:rPr>
          <w:rFonts w:cs="宋体"/>
          <w:szCs w:val="21"/>
        </w:rPr>
      </w:pPr>
    </w:p>
    <w:p>
      <w:pPr>
        <w:jc w:val="center"/>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附录C</w:t>
      </w:r>
    </w:p>
    <w:p>
      <w:pPr>
        <w:jc w:val="center"/>
        <w:rPr>
          <w:rFonts w:hint="eastAsia" w:ascii="方正黑体_GBK" w:hAnsi="方正黑体_GBK" w:eastAsia="方正黑体_GBK" w:cs="方正黑体_GBK"/>
          <w:b w:val="0"/>
          <w:bCs w:val="0"/>
        </w:rPr>
      </w:pPr>
      <w:r>
        <w:rPr>
          <w:rFonts w:hint="eastAsia" w:ascii="方正黑体_GBK" w:hAnsi="方正黑体_GBK" w:eastAsia="方正黑体_GBK" w:cs="方正黑体_GBK"/>
          <w:b w:val="0"/>
          <w:bCs w:val="0"/>
        </w:rPr>
        <w:t>（规范性）</w:t>
      </w:r>
    </w:p>
    <w:p>
      <w:pPr>
        <w:jc w:val="center"/>
        <w:rPr>
          <w:rFonts w:hint="eastAsia" w:ascii="黑体" w:hAnsi="黑体" w:eastAsia="黑体" w:cs="黑体"/>
          <w:b w:val="0"/>
          <w:bCs w:val="0"/>
        </w:rPr>
      </w:pPr>
      <w:r>
        <w:rPr>
          <w:rFonts w:hint="eastAsia" w:ascii="黑体" w:hAnsi="黑体" w:eastAsia="黑体" w:cs="黑体"/>
          <w:b w:val="0"/>
          <w:bCs w:val="0"/>
        </w:rPr>
        <w:t>桃树主要病害防控措施</w:t>
      </w:r>
    </w:p>
    <w:p>
      <w:pPr>
        <w:jc w:val="center"/>
        <w:rPr>
          <w:rFonts w:ascii="黑体" w:hAnsi="黑体" w:eastAsia="黑体" w:cs="黑体"/>
          <w:kern w:val="0"/>
          <w:szCs w:val="20"/>
        </w:rPr>
      </w:pPr>
      <w:r>
        <w:rPr>
          <w:rFonts w:hint="eastAsia" w:ascii="黑体" w:hAnsi="黑体" w:eastAsia="黑体" w:cs="黑体"/>
          <w:kern w:val="0"/>
          <w:szCs w:val="20"/>
          <w:lang w:eastAsia="zh-CN"/>
        </w:rPr>
        <w:t>表</w:t>
      </w:r>
      <w:r>
        <w:rPr>
          <w:rFonts w:hint="eastAsia" w:ascii="黑体" w:hAnsi="黑体" w:eastAsia="黑体" w:cs="黑体"/>
          <w:kern w:val="0"/>
          <w:szCs w:val="20"/>
          <w:lang w:val="en-US" w:eastAsia="zh-CN"/>
        </w:rPr>
        <w:t xml:space="preserve">A.3 </w:t>
      </w:r>
      <w:r>
        <w:rPr>
          <w:rFonts w:hint="eastAsia" w:ascii="黑体" w:hAnsi="黑体" w:eastAsia="黑体" w:cs="黑体"/>
          <w:kern w:val="0"/>
          <w:szCs w:val="20"/>
        </w:rPr>
        <w:t>桃树主要病害防控措施</w:t>
      </w:r>
      <w:bookmarkStart w:id="3" w:name="_GoBack"/>
      <w:bookmarkEnd w:id="3"/>
    </w:p>
    <w:tbl>
      <w:tblPr>
        <w:tblStyle w:val="4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2499"/>
        <w:gridCol w:w="1642"/>
        <w:gridCol w:w="44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noWrap w:val="0"/>
            <w:vAlign w:val="center"/>
          </w:tcPr>
          <w:p>
            <w:pPr>
              <w:spacing w:line="40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主要病害种类</w:t>
            </w:r>
          </w:p>
        </w:tc>
        <w:tc>
          <w:tcPr>
            <w:tcW w:w="3457" w:type="dxa"/>
            <w:vMerge w:val="restart"/>
            <w:noWrap w:val="0"/>
            <w:vAlign w:val="center"/>
          </w:tcPr>
          <w:p>
            <w:pPr>
              <w:spacing w:line="40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kern w:val="0"/>
                <w:sz w:val="18"/>
                <w:szCs w:val="18"/>
                <w:shd w:val="clear" w:color="auto" w:fill="FFFFFF"/>
              </w:rPr>
              <w:t>生物和物理防控措施</w:t>
            </w:r>
          </w:p>
        </w:tc>
        <w:tc>
          <w:tcPr>
            <w:tcW w:w="9075" w:type="dxa"/>
            <w:gridSpan w:val="2"/>
            <w:noWrap w:val="0"/>
            <w:vAlign w:val="center"/>
          </w:tcPr>
          <w:p>
            <w:pPr>
              <w:spacing w:line="40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kern w:val="0"/>
                <w:sz w:val="18"/>
                <w:szCs w:val="18"/>
                <w:shd w:val="clear" w:color="auto" w:fill="FFFFFF"/>
              </w:rPr>
              <w:t>化学防控措施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noWrap w:val="0"/>
            <w:vAlign w:val="center"/>
          </w:tcPr>
          <w:p>
            <w:pPr>
              <w:spacing w:line="400" w:lineRule="exact"/>
              <w:jc w:val="center"/>
              <w:rPr>
                <w:rFonts w:hint="eastAsia" w:asciiTheme="minorEastAsia" w:hAnsiTheme="minorEastAsia" w:eastAsiaTheme="minorEastAsia" w:cstheme="minorEastAsia"/>
                <w:kern w:val="0"/>
                <w:sz w:val="18"/>
                <w:szCs w:val="18"/>
              </w:rPr>
            </w:pPr>
          </w:p>
        </w:tc>
        <w:tc>
          <w:tcPr>
            <w:tcW w:w="3457" w:type="dxa"/>
            <w:vMerge w:val="continue"/>
            <w:noWrap w:val="0"/>
            <w:vAlign w:val="center"/>
          </w:tcPr>
          <w:p>
            <w:pPr>
              <w:spacing w:line="400" w:lineRule="exact"/>
              <w:jc w:val="center"/>
              <w:rPr>
                <w:rFonts w:hint="eastAsia" w:asciiTheme="minorEastAsia" w:hAnsiTheme="minorEastAsia" w:eastAsiaTheme="minorEastAsia" w:cstheme="minorEastAsia"/>
                <w:kern w:val="0"/>
                <w:sz w:val="18"/>
                <w:szCs w:val="18"/>
              </w:rPr>
            </w:pPr>
          </w:p>
        </w:tc>
        <w:tc>
          <w:tcPr>
            <w:tcW w:w="2415" w:type="dxa"/>
            <w:noWrap w:val="0"/>
            <w:vAlign w:val="center"/>
          </w:tcPr>
          <w:p>
            <w:pPr>
              <w:spacing w:line="40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防治时期</w:t>
            </w:r>
          </w:p>
        </w:tc>
        <w:tc>
          <w:tcPr>
            <w:tcW w:w="6660" w:type="dxa"/>
            <w:noWrap w:val="0"/>
            <w:vAlign w:val="center"/>
          </w:tcPr>
          <w:p>
            <w:pPr>
              <w:spacing w:line="40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常用药剂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noWrap w:val="0"/>
            <w:vAlign w:val="center"/>
          </w:tcPr>
          <w:p>
            <w:pPr>
              <w:spacing w:line="40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褐腐病</w:t>
            </w:r>
          </w:p>
        </w:tc>
        <w:tc>
          <w:tcPr>
            <w:tcW w:w="3457" w:type="dxa"/>
            <w:vMerge w:val="restart"/>
            <w:noWrap w:val="0"/>
            <w:vAlign w:val="top"/>
          </w:tcPr>
          <w:p>
            <w:pPr>
              <w:numPr>
                <w:ilvl w:val="0"/>
                <w:numId w:val="0"/>
              </w:numPr>
              <w:spacing w:line="400" w:lineRule="exact"/>
              <w:ind w:leftChars="0"/>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w:t>
            </w:r>
            <w:r>
              <w:rPr>
                <w:rFonts w:hint="eastAsia" w:asciiTheme="minorEastAsia" w:hAnsiTheme="minorEastAsia" w:eastAsiaTheme="minorEastAsia" w:cstheme="minorEastAsia"/>
                <w:kern w:val="0"/>
                <w:sz w:val="18"/>
                <w:szCs w:val="18"/>
              </w:rPr>
              <w:t>结合冬剪清园；</w:t>
            </w:r>
          </w:p>
          <w:p>
            <w:pPr>
              <w:spacing w:line="400" w:lineRule="exac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2.及时夏剪，改善通风透光条件</w:t>
            </w:r>
          </w:p>
        </w:tc>
        <w:tc>
          <w:tcPr>
            <w:tcW w:w="2415" w:type="dxa"/>
            <w:noWrap w:val="0"/>
            <w:vAlign w:val="center"/>
          </w:tcPr>
          <w:p>
            <w:pPr>
              <w:spacing w:line="400" w:lineRule="exact"/>
              <w:jc w:val="center"/>
              <w:rPr>
                <w:rFonts w:hint="eastAsia" w:asciiTheme="minorEastAsia" w:hAnsiTheme="minorEastAsia" w:eastAsiaTheme="minorEastAsia" w:cstheme="minorEastAsia"/>
                <w:color w:val="000000"/>
                <w:kern w:val="0"/>
                <w:sz w:val="18"/>
                <w:szCs w:val="18"/>
                <w:shd w:val="clear" w:color="auto" w:fill="FFFFFF"/>
              </w:rPr>
            </w:pPr>
            <w:r>
              <w:rPr>
                <w:rFonts w:hint="eastAsia" w:asciiTheme="minorEastAsia" w:hAnsiTheme="minorEastAsia" w:eastAsiaTheme="minorEastAsia" w:cstheme="minorEastAsia"/>
                <w:color w:val="000000"/>
                <w:kern w:val="0"/>
                <w:sz w:val="18"/>
                <w:szCs w:val="18"/>
                <w:shd w:val="clear" w:color="auto" w:fill="FFFFFF"/>
              </w:rPr>
              <w:t>花前或落花后</w:t>
            </w:r>
          </w:p>
        </w:tc>
        <w:tc>
          <w:tcPr>
            <w:tcW w:w="6660" w:type="dxa"/>
            <w:noWrap w:val="0"/>
            <w:vAlign w:val="top"/>
          </w:tcPr>
          <w:p>
            <w:pPr>
              <w:spacing w:line="400" w:lineRule="exac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50%多菌灵1000倍液、65%代森锌500倍液、50%苯菌灵1500倍液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5" w:type="dxa"/>
            <w:vMerge w:val="continue"/>
            <w:noWrap w:val="0"/>
            <w:vAlign w:val="center"/>
          </w:tcPr>
          <w:p>
            <w:pPr>
              <w:spacing w:line="400" w:lineRule="exact"/>
              <w:jc w:val="center"/>
              <w:rPr>
                <w:rFonts w:hint="eastAsia" w:asciiTheme="minorEastAsia" w:hAnsiTheme="minorEastAsia" w:eastAsiaTheme="minorEastAsia" w:cstheme="minorEastAsia"/>
                <w:kern w:val="0"/>
                <w:sz w:val="18"/>
                <w:szCs w:val="18"/>
              </w:rPr>
            </w:pPr>
          </w:p>
        </w:tc>
        <w:tc>
          <w:tcPr>
            <w:tcW w:w="3457" w:type="dxa"/>
            <w:vMerge w:val="continue"/>
            <w:noWrap w:val="0"/>
            <w:vAlign w:val="top"/>
          </w:tcPr>
          <w:p>
            <w:pPr>
              <w:spacing w:line="400" w:lineRule="exact"/>
              <w:rPr>
                <w:rFonts w:hint="eastAsia" w:asciiTheme="minorEastAsia" w:hAnsiTheme="minorEastAsia" w:eastAsiaTheme="minorEastAsia" w:cstheme="minorEastAsia"/>
                <w:sz w:val="18"/>
                <w:szCs w:val="18"/>
              </w:rPr>
            </w:pPr>
          </w:p>
        </w:tc>
        <w:tc>
          <w:tcPr>
            <w:tcW w:w="2415" w:type="dxa"/>
            <w:noWrap w:val="0"/>
            <w:vAlign w:val="center"/>
          </w:tcPr>
          <w:p>
            <w:pPr>
              <w:spacing w:line="40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果实发育后期</w:t>
            </w:r>
          </w:p>
        </w:tc>
        <w:tc>
          <w:tcPr>
            <w:tcW w:w="6660" w:type="dxa"/>
            <w:noWrap w:val="0"/>
            <w:vAlign w:val="top"/>
          </w:tcPr>
          <w:p>
            <w:pPr>
              <w:spacing w:line="400" w:lineRule="exac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50%扑海因可湿性粉剂1000～2000倍液、</w:t>
            </w:r>
            <w:r>
              <w:rPr>
                <w:rFonts w:hint="eastAsia" w:asciiTheme="minorEastAsia" w:hAnsiTheme="minorEastAsia" w:eastAsiaTheme="minorEastAsia" w:cstheme="minorEastAsia"/>
                <w:sz w:val="18"/>
                <w:szCs w:val="18"/>
              </w:rPr>
              <w:t>70%甲基硫菌灵1000倍液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1305" w:type="dxa"/>
            <w:noWrap w:val="0"/>
            <w:vAlign w:val="center"/>
          </w:tcPr>
          <w:p>
            <w:pPr>
              <w:spacing w:line="4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穿孔病</w:t>
            </w:r>
          </w:p>
        </w:tc>
        <w:tc>
          <w:tcPr>
            <w:tcW w:w="3457" w:type="dxa"/>
            <w:noWrap w:val="0"/>
            <w:vAlign w:val="top"/>
          </w:tcPr>
          <w:p>
            <w:pPr>
              <w:spacing w:line="40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1.避免在水位较高的地方建园；2.冬季清园；3.增施有机肥；增强树势；4.合理修剪，改善通风透光条件</w:t>
            </w:r>
          </w:p>
        </w:tc>
        <w:tc>
          <w:tcPr>
            <w:tcW w:w="2415" w:type="dxa"/>
            <w:noWrap w:val="0"/>
            <w:vAlign w:val="center"/>
          </w:tcPr>
          <w:p>
            <w:pPr>
              <w:spacing w:line="40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000000"/>
                <w:kern w:val="0"/>
                <w:sz w:val="18"/>
                <w:szCs w:val="18"/>
                <w:shd w:val="clear" w:color="auto" w:fill="FFFFFF"/>
              </w:rPr>
              <w:t>展叶后至发病前</w:t>
            </w:r>
          </w:p>
        </w:tc>
        <w:tc>
          <w:tcPr>
            <w:tcW w:w="6660" w:type="dxa"/>
            <w:noWrap w:val="0"/>
            <w:vAlign w:val="top"/>
          </w:tcPr>
          <w:p>
            <w:pPr>
              <w:spacing w:line="400" w:lineRule="exac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65%代森锰锌500倍液、50%多菌灵1000倍液、75百菌清650倍液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305" w:type="dxa"/>
            <w:noWrap w:val="0"/>
            <w:vAlign w:val="center"/>
          </w:tcPr>
          <w:p>
            <w:pPr>
              <w:spacing w:line="4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疮痂病</w:t>
            </w:r>
          </w:p>
        </w:tc>
        <w:tc>
          <w:tcPr>
            <w:tcW w:w="3457" w:type="dxa"/>
            <w:noWrap w:val="0"/>
            <w:vAlign w:val="top"/>
          </w:tcPr>
          <w:p>
            <w:pPr>
              <w:spacing w:line="40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1.冬剪时剪除病枝深埋，减少病源；2.合理修剪，改善通风透光条件</w:t>
            </w:r>
          </w:p>
        </w:tc>
        <w:tc>
          <w:tcPr>
            <w:tcW w:w="2415" w:type="dxa"/>
            <w:noWrap w:val="0"/>
            <w:vAlign w:val="center"/>
          </w:tcPr>
          <w:p>
            <w:pPr>
              <w:spacing w:line="40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果实膨大期至成熟期前</w:t>
            </w:r>
          </w:p>
        </w:tc>
        <w:tc>
          <w:tcPr>
            <w:tcW w:w="6660" w:type="dxa"/>
            <w:noWrap w:val="0"/>
            <w:vAlign w:val="top"/>
          </w:tcPr>
          <w:p>
            <w:pPr>
              <w:spacing w:line="400" w:lineRule="exac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喷施65%代森锰锌500倍液、50%苯菌灵1500倍液、50%福美锌500～800倍液、70%甲基托布津800～1200倍液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05" w:type="dxa"/>
            <w:noWrap w:val="0"/>
            <w:vAlign w:val="center"/>
          </w:tcPr>
          <w:p>
            <w:pPr>
              <w:spacing w:line="40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白粉病</w:t>
            </w:r>
          </w:p>
        </w:tc>
        <w:tc>
          <w:tcPr>
            <w:tcW w:w="3457" w:type="dxa"/>
            <w:noWrap w:val="0"/>
            <w:vAlign w:val="top"/>
          </w:tcPr>
          <w:p>
            <w:pPr>
              <w:numPr>
                <w:ilvl w:val="0"/>
                <w:numId w:val="0"/>
              </w:numPr>
              <w:spacing w:line="400" w:lineRule="exact"/>
              <w:ind w:leftChars="0"/>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1.</w:t>
            </w:r>
            <w:r>
              <w:rPr>
                <w:rFonts w:hint="eastAsia" w:asciiTheme="minorEastAsia" w:hAnsiTheme="minorEastAsia" w:eastAsiaTheme="minorEastAsia" w:cstheme="minorEastAsia"/>
                <w:kern w:val="0"/>
                <w:sz w:val="18"/>
                <w:szCs w:val="18"/>
              </w:rPr>
              <w:t>结合冬剪清园；</w:t>
            </w:r>
          </w:p>
          <w:p>
            <w:pPr>
              <w:numPr>
                <w:ilvl w:val="0"/>
                <w:numId w:val="0"/>
              </w:numPr>
              <w:spacing w:line="400" w:lineRule="exact"/>
              <w:ind w:leftChars="0"/>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lang w:val="en-US" w:eastAsia="zh-CN"/>
              </w:rPr>
              <w:t>2.</w:t>
            </w:r>
            <w:r>
              <w:rPr>
                <w:rFonts w:hint="eastAsia" w:asciiTheme="minorEastAsia" w:hAnsiTheme="minorEastAsia" w:eastAsiaTheme="minorEastAsia" w:cstheme="minorEastAsia"/>
                <w:kern w:val="0"/>
                <w:sz w:val="18"/>
                <w:szCs w:val="18"/>
              </w:rPr>
              <w:t>发病初期摘除病果</w:t>
            </w:r>
          </w:p>
        </w:tc>
        <w:tc>
          <w:tcPr>
            <w:tcW w:w="2415" w:type="dxa"/>
            <w:noWrap w:val="0"/>
            <w:vAlign w:val="center"/>
          </w:tcPr>
          <w:p>
            <w:pPr>
              <w:spacing w:line="4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温暖潮湿环境</w:t>
            </w:r>
          </w:p>
        </w:tc>
        <w:tc>
          <w:tcPr>
            <w:tcW w:w="6660" w:type="dxa"/>
            <w:noWrap w:val="0"/>
            <w:vAlign w:val="top"/>
          </w:tcPr>
          <w:p>
            <w:pPr>
              <w:spacing w:line="40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50%多菌灵</w:t>
            </w:r>
            <w:r>
              <w:rPr>
                <w:rFonts w:hint="eastAsia" w:asciiTheme="minorEastAsia" w:hAnsiTheme="minorEastAsia" w:eastAsiaTheme="minorEastAsia" w:cstheme="minorEastAsia"/>
                <w:kern w:val="0"/>
                <w:sz w:val="18"/>
                <w:szCs w:val="18"/>
              </w:rPr>
              <w:t>1000倍液、50%硫悬浮剂300～400倍液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05" w:type="dxa"/>
            <w:noWrap w:val="0"/>
            <w:vAlign w:val="center"/>
          </w:tcPr>
          <w:p>
            <w:pPr>
              <w:spacing w:line="40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炭疽病</w:t>
            </w:r>
          </w:p>
        </w:tc>
        <w:tc>
          <w:tcPr>
            <w:tcW w:w="3457" w:type="dxa"/>
            <w:noWrap w:val="0"/>
            <w:vAlign w:val="top"/>
          </w:tcPr>
          <w:p>
            <w:pPr>
              <w:spacing w:line="400" w:lineRule="exac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结合冬剪清理病枝和地面僵果</w:t>
            </w:r>
          </w:p>
        </w:tc>
        <w:tc>
          <w:tcPr>
            <w:tcW w:w="2415" w:type="dxa"/>
            <w:noWrap w:val="0"/>
            <w:vAlign w:val="center"/>
          </w:tcPr>
          <w:p>
            <w:pPr>
              <w:spacing w:line="4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果实发育期</w:t>
            </w:r>
          </w:p>
        </w:tc>
        <w:tc>
          <w:tcPr>
            <w:tcW w:w="6660" w:type="dxa"/>
            <w:noWrap w:val="0"/>
            <w:vAlign w:val="top"/>
          </w:tcPr>
          <w:p>
            <w:pPr>
              <w:spacing w:line="400" w:lineRule="exac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50%多菌灵800～</w:t>
            </w:r>
            <w:r>
              <w:rPr>
                <w:rFonts w:hint="eastAsia" w:asciiTheme="minorEastAsia" w:hAnsiTheme="minorEastAsia" w:eastAsiaTheme="minorEastAsia" w:cstheme="minorEastAsia"/>
                <w:kern w:val="0"/>
                <w:sz w:val="18"/>
                <w:szCs w:val="18"/>
              </w:rPr>
              <w:t>1000倍液、75百菌清800倍液/80%炭疽福美800倍液、50%退菌特1000倍液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305" w:type="dxa"/>
            <w:noWrap w:val="0"/>
            <w:vAlign w:val="center"/>
          </w:tcPr>
          <w:p>
            <w:pPr>
              <w:spacing w:line="40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褐斑病</w:t>
            </w:r>
          </w:p>
        </w:tc>
        <w:tc>
          <w:tcPr>
            <w:tcW w:w="3457" w:type="dxa"/>
            <w:noWrap w:val="0"/>
            <w:vAlign w:val="top"/>
          </w:tcPr>
          <w:p>
            <w:pPr>
              <w:spacing w:line="400" w:lineRule="exac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color w:val="333333"/>
                <w:sz w:val="18"/>
                <w:szCs w:val="18"/>
                <w:shd w:val="clear" w:color="auto" w:fill="FFFFFF"/>
              </w:rPr>
              <w:t>桃园注意排水，增施有机肥，合理修剪，增强通透性。</w:t>
            </w:r>
          </w:p>
        </w:tc>
        <w:tc>
          <w:tcPr>
            <w:tcW w:w="2415" w:type="dxa"/>
            <w:noWrap w:val="0"/>
            <w:vAlign w:val="center"/>
          </w:tcPr>
          <w:p>
            <w:pPr>
              <w:spacing w:line="40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发病前或发病初期</w:t>
            </w:r>
          </w:p>
        </w:tc>
        <w:tc>
          <w:tcPr>
            <w:tcW w:w="6660" w:type="dxa"/>
            <w:noWrap w:val="0"/>
            <w:vAlign w:val="top"/>
          </w:tcPr>
          <w:p>
            <w:pPr>
              <w:spacing w:line="400" w:lineRule="exac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80%硫磺可湿性粉剂、70%代森锰锌500倍液、70%甲基硫菌灵1000倍液、75%百菌清800倍液</w:t>
            </w:r>
          </w:p>
          <w:p>
            <w:pPr>
              <w:spacing w:line="400" w:lineRule="exac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sz w:val="18"/>
                <w:szCs w:val="18"/>
              </w:rPr>
              <w:t>500~1000倍液喷雾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305" w:type="dxa"/>
            <w:noWrap w:val="0"/>
            <w:vAlign w:val="center"/>
          </w:tcPr>
          <w:p>
            <w:pPr>
              <w:spacing w:line="40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腐烂病</w:t>
            </w:r>
          </w:p>
        </w:tc>
        <w:tc>
          <w:tcPr>
            <w:tcW w:w="3457" w:type="dxa"/>
            <w:noWrap w:val="0"/>
            <w:vAlign w:val="top"/>
          </w:tcPr>
          <w:p>
            <w:pPr>
              <w:spacing w:line="400" w:lineRule="exac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树干涂白、清理病枝病皮</w:t>
            </w:r>
          </w:p>
          <w:p>
            <w:pPr>
              <w:spacing w:line="400" w:lineRule="exac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合理修剪、注意排灌、防止果园积水、控制产量</w:t>
            </w:r>
          </w:p>
        </w:tc>
        <w:tc>
          <w:tcPr>
            <w:tcW w:w="2415" w:type="dxa"/>
            <w:noWrap w:val="0"/>
            <w:vAlign w:val="center"/>
          </w:tcPr>
          <w:p>
            <w:pPr>
              <w:spacing w:line="400" w:lineRule="exact"/>
              <w:jc w:val="center"/>
              <w:rPr>
                <w:rFonts w:hint="eastAsia" w:asciiTheme="minorEastAsia" w:hAnsiTheme="minorEastAsia" w:eastAsiaTheme="minorEastAsia" w:cstheme="minorEastAsia"/>
                <w:sz w:val="18"/>
                <w:szCs w:val="18"/>
              </w:rPr>
            </w:pPr>
          </w:p>
        </w:tc>
        <w:tc>
          <w:tcPr>
            <w:tcW w:w="6660" w:type="dxa"/>
            <w:noWrap w:val="0"/>
            <w:vAlign w:val="top"/>
          </w:tcPr>
          <w:p>
            <w:pPr>
              <w:spacing w:line="40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刮出病斑后涂抹杀菌剂，50%多菌灵1份加1.5份植物油、30%腐烂敌30倍液、843康复剂原液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restart"/>
            <w:noWrap w:val="0"/>
            <w:vAlign w:val="center"/>
          </w:tcPr>
          <w:p>
            <w:pPr>
              <w:spacing w:line="40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流胶病</w:t>
            </w:r>
          </w:p>
        </w:tc>
        <w:tc>
          <w:tcPr>
            <w:tcW w:w="3457" w:type="dxa"/>
            <w:vMerge w:val="restart"/>
            <w:noWrap w:val="0"/>
            <w:vAlign w:val="top"/>
          </w:tcPr>
          <w:p>
            <w:pPr>
              <w:spacing w:line="400" w:lineRule="exac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冬季清理病枝，合理施肥，增强树势</w:t>
            </w:r>
          </w:p>
        </w:tc>
        <w:tc>
          <w:tcPr>
            <w:tcW w:w="2415" w:type="dxa"/>
            <w:noWrap w:val="0"/>
            <w:vAlign w:val="center"/>
          </w:tcPr>
          <w:p>
            <w:pPr>
              <w:spacing w:line="4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树液开始流动时</w:t>
            </w:r>
          </w:p>
        </w:tc>
        <w:tc>
          <w:tcPr>
            <w:tcW w:w="6660" w:type="dxa"/>
            <w:noWrap w:val="0"/>
            <w:vAlign w:val="top"/>
          </w:tcPr>
          <w:p>
            <w:pPr>
              <w:spacing w:line="400" w:lineRule="exac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刮出病部干胶和老翘皮，涂抹5波美度石硫合剂，或抗菌剂402，或70%甲基硫菌灵1000倍液，或50%多菌灵500倍液+有机硅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vMerge w:val="continue"/>
            <w:noWrap w:val="0"/>
            <w:vAlign w:val="center"/>
          </w:tcPr>
          <w:p>
            <w:pPr>
              <w:spacing w:line="400" w:lineRule="exact"/>
              <w:jc w:val="center"/>
              <w:rPr>
                <w:rFonts w:hint="eastAsia" w:asciiTheme="minorEastAsia" w:hAnsiTheme="minorEastAsia" w:eastAsiaTheme="minorEastAsia" w:cstheme="minorEastAsia"/>
                <w:kern w:val="0"/>
                <w:sz w:val="18"/>
                <w:szCs w:val="18"/>
              </w:rPr>
            </w:pPr>
          </w:p>
        </w:tc>
        <w:tc>
          <w:tcPr>
            <w:tcW w:w="3457" w:type="dxa"/>
            <w:vMerge w:val="continue"/>
            <w:noWrap w:val="0"/>
            <w:vAlign w:val="top"/>
          </w:tcPr>
          <w:p>
            <w:pPr>
              <w:spacing w:line="400" w:lineRule="exact"/>
              <w:rPr>
                <w:rFonts w:hint="eastAsia" w:asciiTheme="minorEastAsia" w:hAnsiTheme="minorEastAsia" w:eastAsiaTheme="minorEastAsia" w:cstheme="minorEastAsia"/>
                <w:kern w:val="0"/>
                <w:sz w:val="18"/>
                <w:szCs w:val="18"/>
              </w:rPr>
            </w:pPr>
          </w:p>
        </w:tc>
        <w:tc>
          <w:tcPr>
            <w:tcW w:w="2415" w:type="dxa"/>
            <w:noWrap w:val="0"/>
            <w:vAlign w:val="center"/>
          </w:tcPr>
          <w:p>
            <w:pPr>
              <w:spacing w:line="400" w:lineRule="exact"/>
              <w:jc w:val="center"/>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生长季节发病期</w:t>
            </w:r>
          </w:p>
        </w:tc>
        <w:tc>
          <w:tcPr>
            <w:tcW w:w="6660" w:type="dxa"/>
            <w:noWrap w:val="0"/>
            <w:vAlign w:val="top"/>
          </w:tcPr>
          <w:p>
            <w:pPr>
              <w:spacing w:line="40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65%代森锌500倍液、</w:t>
            </w:r>
            <w:r>
              <w:rPr>
                <w:rFonts w:hint="eastAsia" w:asciiTheme="minorEastAsia" w:hAnsiTheme="minorEastAsia" w:eastAsiaTheme="minorEastAsia" w:cstheme="minorEastAsia"/>
                <w:sz w:val="18"/>
                <w:szCs w:val="18"/>
              </w:rPr>
              <w:t>50%多菌灵800～</w:t>
            </w:r>
            <w:r>
              <w:rPr>
                <w:rFonts w:hint="eastAsia" w:asciiTheme="minorEastAsia" w:hAnsiTheme="minorEastAsia" w:eastAsiaTheme="minorEastAsia" w:cstheme="minorEastAsia"/>
                <w:kern w:val="0"/>
                <w:sz w:val="18"/>
                <w:szCs w:val="18"/>
              </w:rPr>
              <w:t>1000倍液、50%甲基托布津500倍液、70%甲基硫菌灵1000倍液、10%苯醚甲环唑3000～5000倍液，交替连喷3～4次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5" w:type="dxa"/>
            <w:noWrap w:val="0"/>
            <w:vAlign w:val="center"/>
          </w:tcPr>
          <w:p>
            <w:pPr>
              <w:spacing w:line="40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根癌病</w:t>
            </w:r>
          </w:p>
        </w:tc>
        <w:tc>
          <w:tcPr>
            <w:tcW w:w="3457" w:type="dxa"/>
            <w:noWrap w:val="0"/>
            <w:vAlign w:val="top"/>
          </w:tcPr>
          <w:p>
            <w:pPr>
              <w:spacing w:line="400" w:lineRule="exac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加强检疫，选择无病苗，栽植前用3°Bé～5°Bé石硫合剂浸泡、30倍液根癌宁浸泡。</w:t>
            </w:r>
          </w:p>
        </w:tc>
        <w:tc>
          <w:tcPr>
            <w:tcW w:w="2415" w:type="dxa"/>
            <w:noWrap w:val="0"/>
            <w:vAlign w:val="center"/>
          </w:tcPr>
          <w:p>
            <w:pPr>
              <w:spacing w:line="400" w:lineRule="exact"/>
              <w:jc w:val="center"/>
              <w:rPr>
                <w:rFonts w:hint="eastAsia" w:asciiTheme="minorEastAsia" w:hAnsiTheme="minorEastAsia" w:eastAsiaTheme="minorEastAsia" w:cstheme="minorEastAsia"/>
                <w:kern w:val="0"/>
                <w:sz w:val="18"/>
                <w:szCs w:val="18"/>
              </w:rPr>
            </w:pPr>
          </w:p>
        </w:tc>
        <w:tc>
          <w:tcPr>
            <w:tcW w:w="6660" w:type="dxa"/>
            <w:noWrap w:val="0"/>
            <w:vAlign w:val="top"/>
          </w:tcPr>
          <w:p>
            <w:pPr>
              <w:spacing w:line="400" w:lineRule="exact"/>
              <w:rPr>
                <w:rFonts w:hint="eastAsia" w:asciiTheme="minorEastAsia" w:hAnsiTheme="minorEastAsia" w:eastAsiaTheme="minorEastAsia" w:cstheme="minorEastAsi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305" w:type="dxa"/>
            <w:noWrap w:val="0"/>
            <w:vAlign w:val="center"/>
          </w:tcPr>
          <w:p>
            <w:pPr>
              <w:spacing w:line="40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病毒病</w:t>
            </w:r>
          </w:p>
        </w:tc>
        <w:tc>
          <w:tcPr>
            <w:tcW w:w="3457" w:type="dxa"/>
            <w:noWrap w:val="0"/>
            <w:vAlign w:val="top"/>
          </w:tcPr>
          <w:p>
            <w:pPr>
              <w:spacing w:line="400" w:lineRule="exact"/>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加强检疫，选择无病苗</w:t>
            </w:r>
          </w:p>
        </w:tc>
        <w:tc>
          <w:tcPr>
            <w:tcW w:w="2415" w:type="dxa"/>
            <w:noWrap w:val="0"/>
            <w:vAlign w:val="center"/>
          </w:tcPr>
          <w:p>
            <w:pPr>
              <w:spacing w:line="400" w:lineRule="exact"/>
              <w:jc w:val="center"/>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发表初期</w:t>
            </w:r>
          </w:p>
        </w:tc>
        <w:tc>
          <w:tcPr>
            <w:tcW w:w="6660" w:type="dxa"/>
            <w:noWrap w:val="0"/>
            <w:vAlign w:val="top"/>
          </w:tcPr>
          <w:p>
            <w:pPr>
              <w:spacing w:line="400" w:lineRule="exact"/>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3%氨基寡糖素、盐酸吗啉胍、宁南霉素</w:t>
            </w:r>
          </w:p>
        </w:tc>
      </w:tr>
    </w:tbl>
    <w:p>
      <w:pPr>
        <w:pStyle w:val="32"/>
        <w:ind w:firstLine="0" w:firstLineChars="0"/>
        <w:jc w:val="center"/>
        <w:rPr>
          <w:color w:val="000000"/>
          <w:sz w:val="18"/>
        </w:rPr>
      </w:pPr>
    </w:p>
    <w:p>
      <w:pPr>
        <w:pStyle w:val="32"/>
        <w:ind w:firstLine="0" w:firstLineChars="0"/>
        <w:jc w:val="center"/>
      </w:pPr>
      <w:r>
        <w:rPr>
          <w:color w:val="000000"/>
          <w:sz w:val="18"/>
        </w:rPr>
        <w:t>____________________________</w:t>
      </w:r>
    </w:p>
    <w:sectPr>
      <w:footerReference r:id="rId5" w:type="default"/>
      <w:pgSz w:w="11906" w:h="16838"/>
      <w:pgMar w:top="567" w:right="1134" w:bottom="1134" w:left="1418" w:header="1418" w:footer="1134" w:gutter="0"/>
      <w:pgBorders>
        <w:top w:val="none" w:sz="0" w:space="0"/>
        <w:left w:val="none" w:sz="0" w:space="0"/>
        <w:bottom w:val="none" w:sz="0" w:space="0"/>
        <w:right w:val="none" w:sz="0" w:space="0"/>
      </w:pgBorders>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Consolas">
    <w:altName w:val="Noto Sans Mono"/>
    <w:panose1 w:val="020B0609020204030204"/>
    <w:charset w:val="00"/>
    <w:family w:val="modern"/>
    <w:pitch w:val="default"/>
    <w:sig w:usb0="00000000" w:usb1="00000000" w:usb2="00000009" w:usb3="00000000" w:csb0="6000019F" w:csb1="DFD70000"/>
  </w:font>
  <w:font w:name="Cambria Math">
    <w:altName w:val="DejaVu Math TeX Gyre"/>
    <w:panose1 w:val="02040503050406030204"/>
    <w:charset w:val="00"/>
    <w:family w:val="roman"/>
    <w:pitch w:val="default"/>
    <w:sig w:usb0="00000000" w:usb1="00000000" w:usb2="00000000" w:usb3="00000000" w:csb0="2000019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Syriac Eastern">
    <w:panose1 w:val="02040503050306020203"/>
    <w:charset w:val="86"/>
    <w:family w:val="auto"/>
    <w:pitch w:val="default"/>
    <w:sig w:usb0="00000000" w:usb1="00000000" w:usb2="00000080" w:usb3="00000000" w:csb0="203E0161" w:csb1="D7FF0000"/>
  </w:font>
  <w:font w:name="Noto Sans Mono">
    <w:panose1 w:val="020B0509040504020204"/>
    <w:charset w:val="00"/>
    <w:family w:val="auto"/>
    <w:pitch w:val="default"/>
    <w:sig w:usb0="E00002FF" w:usb1="4200FCFF" w:usb2="08000039" w:usb3="00100000" w:csb0="0000019F" w:csb1="DFD70000"/>
  </w:font>
  <w:font w:name="方正宋体S-超大字符集">
    <w:panose1 w:val="02000000000000000000"/>
    <w:charset w:val="86"/>
    <w:family w:val="auto"/>
    <w:pitch w:val="default"/>
    <w:sig w:usb0="00000001" w:usb1="08000000" w:usb2="00000000" w:usb3="00000000" w:csb0="00040000" w:csb1="00000000"/>
  </w:font>
  <w:font w:name="仿宋">
    <w:altName w:val="方正仿宋_GBK"/>
    <w:panose1 w:val="02010609060101010101"/>
    <w:charset w:val="00"/>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行楷_GBK">
    <w:panose1 w:val="02000000000000000000"/>
    <w:charset w:val="86"/>
    <w:family w:val="auto"/>
    <w:pitch w:val="default"/>
    <w:sig w:usb0="00000001" w:usb1="08000000" w:usb2="00000000" w:usb3="00000000" w:csb0="00040000" w:csb1="00000000"/>
  </w:font>
  <w:font w:name="Helvetica">
    <w:altName w:val="NanumBarunGothic"/>
    <w:panose1 w:val="020B0604020202020204"/>
    <w:charset w:val="00"/>
    <w:family w:val="swiss"/>
    <w:pitch w:val="default"/>
    <w:sig w:usb0="00000000" w:usb1="00000000" w:usb2="00000009" w:usb3="00000000" w:csb0="000001FF" w:csb1="00000000"/>
  </w:font>
  <w:font w:name="NanumBarunGothic">
    <w:panose1 w:val="020B0603020101020101"/>
    <w:charset w:val="81"/>
    <w:family w:val="auto"/>
    <w:pitch w:val="default"/>
    <w:sig w:usb0="800002A7" w:usb1="01D77CFB" w:usb2="00000010" w:usb3="00000000" w:csb0="0008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68"/>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WAAAAZHJzL1BLAQIUABQAAAAIAIdO&#10;4kDOqXm5zwAAAAUBAAAPAAAAAAAAAAEAIAAAADgAAABkcnMvZG93bnJldi54bWxQSwECFAAUAAAA&#10;CACHTuJAxVapq6gBAABCAwAADgAAAAAAAAABACAAAAA0AQAAZHJzL2Uyb0RvYy54bWxQSwUGAAAA&#10;AAYABgBZAQAATgUAAAAA&#10;">
              <v:fill on="f" focussize="0,0"/>
              <v:stroke on="f"/>
              <v:imagedata o:title=""/>
              <o:lock v:ext="edit" aspectratio="f"/>
              <v:textbox inset="0mm,0mm,0mm,0mm" style="mso-fit-shape-to-text:t;">
                <w:txbxContent>
                  <w:p>
                    <w:pPr>
                      <w:pStyle w:val="68"/>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9"/>
      <w:wordWrap w:val="0"/>
    </w:pPr>
    <w:r>
      <w:t>DB1308/T</w:t>
    </w:r>
    <w:r>
      <w:rPr>
        <w:rFonts w:hint="eastAsia"/>
        <w:lang w:val="en-US" w:eastAsia="zh-CN"/>
      </w:rPr>
      <w:t xml:space="preserve"> ***</w:t>
    </w:r>
    <w:r>
      <w:rPr>
        <w:rFonts w:hint="eastAsia"/>
      </w:rPr>
      <w:t>—</w:t>
    </w:r>
    <w:r>
      <w:t>202</w:t>
    </w:r>
    <w:r>
      <w:rPr>
        <w:rFonts w:hint="eastAsi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32638A"/>
    <w:multiLevelType w:val="multilevel"/>
    <w:tmpl w:val="1532638A"/>
    <w:lvl w:ilvl="0" w:tentative="0">
      <w:start w:val="1"/>
      <w:numFmt w:val="decimal"/>
      <w:pStyle w:val="70"/>
      <w:suff w:val="nothing"/>
      <w:lvlText w:val="%1　"/>
      <w:lvlJc w:val="left"/>
      <w:rPr>
        <w:rFonts w:hint="eastAsia" w:ascii="黑体" w:hAnsi="Times New Roman" w:eastAsia="黑体" w:cs="Times New Roman"/>
        <w:b w:val="0"/>
        <w:i w:val="0"/>
        <w:sz w:val="21"/>
        <w:szCs w:val="21"/>
      </w:rPr>
    </w:lvl>
    <w:lvl w:ilvl="1" w:tentative="0">
      <w:start w:val="1"/>
      <w:numFmt w:val="decimal"/>
      <w:pStyle w:val="67"/>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71"/>
      <w:suff w:val="nothing"/>
      <w:lvlText w:val="%1.%2.%3　"/>
      <w:lvlJc w:val="left"/>
      <w:rPr>
        <w:rFonts w:hint="eastAsia" w:ascii="黑体" w:hAnsi="Times New Roman" w:eastAsia="黑体" w:cs="Times New Roman"/>
        <w:b w:val="0"/>
        <w:i w:val="0"/>
        <w:sz w:val="21"/>
      </w:rPr>
    </w:lvl>
    <w:lvl w:ilvl="3" w:tentative="0">
      <w:start w:val="1"/>
      <w:numFmt w:val="decimal"/>
      <w:pStyle w:val="76"/>
      <w:suff w:val="nothing"/>
      <w:lvlText w:val="%1.%2.%3.%4　"/>
      <w:lvlJc w:val="left"/>
      <w:rPr>
        <w:rFonts w:hint="eastAsia" w:ascii="黑体" w:hAnsi="Times New Roman" w:eastAsia="黑体" w:cs="Times New Roman"/>
        <w:b w:val="0"/>
        <w:i w:val="0"/>
        <w:sz w:val="21"/>
      </w:rPr>
    </w:lvl>
    <w:lvl w:ilvl="4" w:tentative="0">
      <w:start w:val="1"/>
      <w:numFmt w:val="decimal"/>
      <w:pStyle w:val="80"/>
      <w:suff w:val="nothing"/>
      <w:lvlText w:val="%1.%2.%3.%4.%5　"/>
      <w:lvlJc w:val="left"/>
      <w:rPr>
        <w:rFonts w:hint="eastAsia" w:ascii="黑体" w:hAnsi="Times New Roman" w:eastAsia="黑体" w:cs="Times New Roman"/>
        <w:b w:val="0"/>
        <w:i w:val="0"/>
        <w:sz w:val="21"/>
      </w:rPr>
    </w:lvl>
    <w:lvl w:ilvl="5" w:tentative="0">
      <w:start w:val="1"/>
      <w:numFmt w:val="decimal"/>
      <w:pStyle w:val="81"/>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
    <w:nsid w:val="1DBF583A"/>
    <w:multiLevelType w:val="multilevel"/>
    <w:tmpl w:val="1DBF583A"/>
    <w:lvl w:ilvl="0" w:tentative="0">
      <w:start w:val="1"/>
      <w:numFmt w:val="decimal"/>
      <w:pStyle w:val="90"/>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2">
    <w:nsid w:val="2A8F7113"/>
    <w:multiLevelType w:val="multilevel"/>
    <w:tmpl w:val="2A8F7113"/>
    <w:lvl w:ilvl="0" w:tentative="0">
      <w:start w:val="1"/>
      <w:numFmt w:val="upperLetter"/>
      <w:pStyle w:val="123"/>
      <w:suff w:val="space"/>
      <w:lvlText w:val="%1"/>
      <w:lvlJc w:val="left"/>
      <w:pPr>
        <w:ind w:left="623" w:hanging="425"/>
      </w:pPr>
      <w:rPr>
        <w:rFonts w:hint="eastAsia" w:cs="Times New Roman"/>
      </w:rPr>
    </w:lvl>
    <w:lvl w:ilvl="1" w:tentative="0">
      <w:start w:val="1"/>
      <w:numFmt w:val="decimal"/>
      <w:pStyle w:val="124"/>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73"/>
      <w:suff w:val="nothing"/>
      <w:lvlText w:val="%1——"/>
      <w:lvlJc w:val="left"/>
      <w:pPr>
        <w:ind w:left="692" w:hanging="408"/>
      </w:pPr>
      <w:rPr>
        <w:rFonts w:hint="eastAsia" w:cs="Times New Roman"/>
      </w:rPr>
    </w:lvl>
    <w:lvl w:ilvl="1" w:tentative="0">
      <w:start w:val="1"/>
      <w:numFmt w:val="bullet"/>
      <w:pStyle w:val="74"/>
      <w:lvlText w:val=""/>
      <w:lvlJc w:val="left"/>
      <w:pPr>
        <w:tabs>
          <w:tab w:val="left" w:pos="760"/>
        </w:tabs>
        <w:ind w:left="1264" w:hanging="413"/>
      </w:pPr>
      <w:rPr>
        <w:rFonts w:hint="default" w:ascii="Symbol" w:hAnsi="Symbol"/>
        <w:color w:val="auto"/>
      </w:rPr>
    </w:lvl>
    <w:lvl w:ilvl="2" w:tentative="0">
      <w:start w:val="1"/>
      <w:numFmt w:val="bullet"/>
      <w:pStyle w:val="8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33"/>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5ACF708F"/>
    <w:multiLevelType w:val="multilevel"/>
    <w:tmpl w:val="5ACF708F"/>
    <w:lvl w:ilvl="0" w:tentative="0">
      <w:start w:val="1"/>
      <w:numFmt w:val="decimal"/>
      <w:pStyle w:val="3"/>
      <w:lvlText w:val="%1"/>
      <w:lvlJc w:val="left"/>
      <w:pPr>
        <w:ind w:left="432" w:hanging="432"/>
      </w:pPr>
      <w:rPr>
        <w:rFonts w:hint="default"/>
      </w:rPr>
    </w:lvl>
    <w:lvl w:ilvl="1" w:tentative="0">
      <w:start w:val="1"/>
      <w:numFmt w:val="decimal"/>
      <w:pStyle w:val="4"/>
      <w:lvlText w:val="%1.%2."/>
      <w:lvlJc w:val="left"/>
      <w:pPr>
        <w:ind w:left="575" w:hanging="575"/>
      </w:pPr>
      <w:rPr>
        <w:rFonts w:hint="default"/>
      </w:rPr>
    </w:lvl>
    <w:lvl w:ilvl="2" w:tentative="0">
      <w:start w:val="1"/>
      <w:numFmt w:val="decimal"/>
      <w:pStyle w:val="5"/>
      <w:lvlText w:val="%1.%2.%3."/>
      <w:lvlJc w:val="left"/>
      <w:pPr>
        <w:ind w:left="720" w:hanging="720"/>
      </w:pPr>
      <w:rPr>
        <w:rFonts w:hint="default"/>
      </w:rPr>
    </w:lvl>
    <w:lvl w:ilvl="3" w:tentative="0">
      <w:start w:val="1"/>
      <w:numFmt w:val="decimal"/>
      <w:pStyle w:val="6"/>
      <w:lvlText w:val="%1.%2.%3.%4."/>
      <w:lvlJc w:val="left"/>
      <w:pPr>
        <w:ind w:left="864" w:hanging="864"/>
      </w:pPr>
      <w:rPr>
        <w:rFonts w:hint="default"/>
      </w:rPr>
    </w:lvl>
    <w:lvl w:ilvl="4" w:tentative="0">
      <w:start w:val="1"/>
      <w:numFmt w:val="decimal"/>
      <w:pStyle w:val="7"/>
      <w:lvlText w:val="%1.%2.%3.%4.%5."/>
      <w:lvlJc w:val="left"/>
      <w:pPr>
        <w:ind w:left="1008" w:hanging="1008"/>
      </w:pPr>
      <w:rPr>
        <w:rFonts w:hint="default"/>
      </w:rPr>
    </w:lvl>
    <w:lvl w:ilvl="5" w:tentative="0">
      <w:start w:val="1"/>
      <w:numFmt w:val="decimal"/>
      <w:pStyle w:val="8"/>
      <w:lvlText w:val="%1.%2.%3.%4.%5.%6."/>
      <w:lvlJc w:val="left"/>
      <w:pPr>
        <w:ind w:left="1151" w:hanging="1151"/>
      </w:pPr>
      <w:rPr>
        <w:rFonts w:hint="default"/>
      </w:rPr>
    </w:lvl>
    <w:lvl w:ilvl="6" w:tentative="0">
      <w:start w:val="1"/>
      <w:numFmt w:val="decimal"/>
      <w:pStyle w:val="9"/>
      <w:lvlText w:val="%1.%2.%3.%4.%5.%6.%7."/>
      <w:lvlJc w:val="left"/>
      <w:pPr>
        <w:ind w:left="1296" w:hanging="1296"/>
      </w:pPr>
      <w:rPr>
        <w:rFonts w:hint="default"/>
      </w:rPr>
    </w:lvl>
    <w:lvl w:ilvl="7" w:tentative="0">
      <w:start w:val="1"/>
      <w:numFmt w:val="decimal"/>
      <w:pStyle w:val="10"/>
      <w:lvlText w:val="%1.%2.%3.%4.%5.%6.%7.%8."/>
      <w:lvlJc w:val="left"/>
      <w:pPr>
        <w:ind w:left="1440" w:hanging="1440"/>
      </w:pPr>
      <w:rPr>
        <w:rFonts w:hint="default"/>
      </w:rPr>
    </w:lvl>
    <w:lvl w:ilvl="8" w:tentative="0">
      <w:start w:val="1"/>
      <w:numFmt w:val="decimal"/>
      <w:pStyle w:val="11"/>
      <w:lvlText w:val="%1.%2.%3.%4.%5.%6.%7.%8.%9."/>
      <w:lvlJc w:val="left"/>
      <w:pPr>
        <w:ind w:left="1583" w:hanging="1583"/>
      </w:pPr>
      <w:rPr>
        <w:rFonts w:hint="default"/>
      </w:rPr>
    </w:lvl>
  </w:abstractNum>
  <w:abstractNum w:abstractNumId="6">
    <w:nsid w:val="60B55DC2"/>
    <w:multiLevelType w:val="multilevel"/>
    <w:tmpl w:val="60B55DC2"/>
    <w:lvl w:ilvl="0" w:tentative="0">
      <w:start w:val="1"/>
      <w:numFmt w:val="upperLetter"/>
      <w:pStyle w:val="111"/>
      <w:lvlText w:val="%1"/>
      <w:lvlJc w:val="left"/>
      <w:pPr>
        <w:tabs>
          <w:tab w:val="left" w:pos="0"/>
        </w:tabs>
        <w:ind w:hanging="425"/>
      </w:pPr>
      <w:rPr>
        <w:rFonts w:hint="eastAsia" w:cs="Times New Roman"/>
      </w:rPr>
    </w:lvl>
    <w:lvl w:ilvl="1" w:tentative="0">
      <w:start w:val="1"/>
      <w:numFmt w:val="decimal"/>
      <w:pStyle w:val="112"/>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7">
    <w:nsid w:val="657D3FBC"/>
    <w:multiLevelType w:val="multilevel"/>
    <w:tmpl w:val="657D3FBC"/>
    <w:lvl w:ilvl="0" w:tentative="0">
      <w:start w:val="1"/>
      <w:numFmt w:val="upperLetter"/>
      <w:pStyle w:val="109"/>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7"/>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8"/>
      <w:suff w:val="nothing"/>
      <w:lvlText w:val="%1.%2.%3　"/>
      <w:lvlJc w:val="left"/>
      <w:rPr>
        <w:rFonts w:hint="eastAsia" w:ascii="黑体" w:hAnsi="Times New Roman" w:eastAsia="黑体" w:cs="Times New Roman"/>
        <w:b w:val="0"/>
        <w:i w:val="0"/>
        <w:sz w:val="21"/>
      </w:rPr>
    </w:lvl>
    <w:lvl w:ilvl="3" w:tentative="0">
      <w:start w:val="1"/>
      <w:numFmt w:val="decimal"/>
      <w:pStyle w:val="113"/>
      <w:suff w:val="nothing"/>
      <w:lvlText w:val="%1.%2.%3.%4　"/>
      <w:lvlJc w:val="left"/>
      <w:rPr>
        <w:rFonts w:hint="eastAsia" w:ascii="黑体" w:hAnsi="Times New Roman" w:eastAsia="黑体" w:cs="Times New Roman"/>
        <w:b w:val="0"/>
        <w:i w:val="0"/>
        <w:sz w:val="21"/>
      </w:rPr>
    </w:lvl>
    <w:lvl w:ilvl="4" w:tentative="0">
      <w:start w:val="1"/>
      <w:numFmt w:val="decimal"/>
      <w:pStyle w:val="118"/>
      <w:suff w:val="nothing"/>
      <w:lvlText w:val="%1.%2.%3.%4.%5　"/>
      <w:lvlJc w:val="left"/>
      <w:rPr>
        <w:rFonts w:hint="eastAsia" w:ascii="黑体" w:hAnsi="Times New Roman" w:eastAsia="黑体" w:cs="Times New Roman"/>
        <w:b w:val="0"/>
        <w:i w:val="0"/>
        <w:sz w:val="21"/>
      </w:rPr>
    </w:lvl>
    <w:lvl w:ilvl="5" w:tentative="0">
      <w:start w:val="1"/>
      <w:numFmt w:val="decimal"/>
      <w:pStyle w:val="121"/>
      <w:suff w:val="nothing"/>
      <w:lvlText w:val="%1.%2.%3.%4.%5.%6　"/>
      <w:lvlJc w:val="left"/>
      <w:rPr>
        <w:rFonts w:hint="eastAsia" w:ascii="黑体" w:hAnsi="Times New Roman" w:eastAsia="黑体" w:cs="Times New Roman"/>
        <w:b w:val="0"/>
        <w:i w:val="0"/>
        <w:sz w:val="21"/>
      </w:rPr>
    </w:lvl>
    <w:lvl w:ilvl="6" w:tentative="0">
      <w:start w:val="1"/>
      <w:numFmt w:val="decimal"/>
      <w:pStyle w:val="12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8">
    <w:nsid w:val="6D6C07CD"/>
    <w:multiLevelType w:val="multilevel"/>
    <w:tmpl w:val="6D6C07CD"/>
    <w:lvl w:ilvl="0" w:tentative="0">
      <w:start w:val="1"/>
      <w:numFmt w:val="lowerLetter"/>
      <w:pStyle w:val="130"/>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20"/>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9">
    <w:nsid w:val="7788763A"/>
    <w:multiLevelType w:val="multilevel"/>
    <w:tmpl w:val="7788763A"/>
    <w:lvl w:ilvl="0" w:tentative="0">
      <w:start w:val="1"/>
      <w:numFmt w:val="lowerLetter"/>
      <w:pStyle w:val="84"/>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9"/>
      <w:lvlText w:val="%2)"/>
      <w:lvlJc w:val="left"/>
      <w:pPr>
        <w:tabs>
          <w:tab w:val="left" w:pos="1260"/>
        </w:tabs>
        <w:ind w:left="1259" w:hanging="419"/>
      </w:pPr>
      <w:rPr>
        <w:rFonts w:hint="eastAsia" w:cs="Times New Roman"/>
      </w:rPr>
    </w:lvl>
    <w:lvl w:ilvl="2" w:tentative="0">
      <w:start w:val="1"/>
      <w:numFmt w:val="decimal"/>
      <w:pStyle w:val="86"/>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5"/>
  </w:num>
  <w:num w:numId="2">
    <w:abstractNumId w:val="4"/>
  </w:num>
  <w:num w:numId="3">
    <w:abstractNumId w:val="0"/>
  </w:num>
  <w:num w:numId="4">
    <w:abstractNumId w:val="3"/>
  </w:num>
  <w:num w:numId="5">
    <w:abstractNumId w:val="9"/>
  </w:num>
  <w:num w:numId="6">
    <w:abstractNumId w:val="1"/>
  </w:num>
  <w:num w:numId="7">
    <w:abstractNumId w:val="7"/>
  </w:num>
  <w:num w:numId="8">
    <w:abstractNumId w:val="6"/>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removePersonalInformation/>
  <w:bordersDoNotSurroundHeader w:val="false"/>
  <w:bordersDoNotSurroundFooter w:val="false"/>
  <w:doNotTrackMoves/>
  <w:documentProtection w:edit="forms" w:enforcement="0"/>
  <w:defaultTabStop w:val="420"/>
  <w:drawingGridHorizontalSpacing w:val="105"/>
  <w:drawingGridVerticalSpacing w:val="156"/>
  <w:displayHorizontalDrawingGridEvery w:val="1"/>
  <w:displayVerticalDrawingGridEvery w:val="1"/>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NlN2E4MDQ0NTZkOTU3ZDY2ZDcyOWQwODVjNzE5OGEifQ=="/>
  </w:docVars>
  <w:rsids>
    <w:rsidRoot w:val="00035925"/>
    <w:rsid w:val="00000244"/>
    <w:rsid w:val="00000E43"/>
    <w:rsid w:val="0000185F"/>
    <w:rsid w:val="0000194D"/>
    <w:rsid w:val="00002C9A"/>
    <w:rsid w:val="000049D8"/>
    <w:rsid w:val="00004BD2"/>
    <w:rsid w:val="00005766"/>
    <w:rsid w:val="0000586F"/>
    <w:rsid w:val="00005F02"/>
    <w:rsid w:val="000064E2"/>
    <w:rsid w:val="00010BDA"/>
    <w:rsid w:val="00011EE1"/>
    <w:rsid w:val="00011F06"/>
    <w:rsid w:val="00013D86"/>
    <w:rsid w:val="00013E02"/>
    <w:rsid w:val="000141B1"/>
    <w:rsid w:val="00014C59"/>
    <w:rsid w:val="00015167"/>
    <w:rsid w:val="00016873"/>
    <w:rsid w:val="0002143C"/>
    <w:rsid w:val="0002282D"/>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B01"/>
    <w:rsid w:val="00042CAD"/>
    <w:rsid w:val="00043EBD"/>
    <w:rsid w:val="00044C95"/>
    <w:rsid w:val="00045BD8"/>
    <w:rsid w:val="00046085"/>
    <w:rsid w:val="00046CFC"/>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67DA4"/>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01D"/>
    <w:rsid w:val="000A48B1"/>
    <w:rsid w:val="000A5D55"/>
    <w:rsid w:val="000A694C"/>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3517"/>
    <w:rsid w:val="00126186"/>
    <w:rsid w:val="00127885"/>
    <w:rsid w:val="00130A4B"/>
    <w:rsid w:val="0013175F"/>
    <w:rsid w:val="00131AFD"/>
    <w:rsid w:val="0013274B"/>
    <w:rsid w:val="001333C1"/>
    <w:rsid w:val="001335C0"/>
    <w:rsid w:val="0013456D"/>
    <w:rsid w:val="0013472E"/>
    <w:rsid w:val="00135821"/>
    <w:rsid w:val="00135D23"/>
    <w:rsid w:val="00136843"/>
    <w:rsid w:val="00136A58"/>
    <w:rsid w:val="001374C0"/>
    <w:rsid w:val="00137B94"/>
    <w:rsid w:val="001444FA"/>
    <w:rsid w:val="00145DD2"/>
    <w:rsid w:val="001512B4"/>
    <w:rsid w:val="001513D4"/>
    <w:rsid w:val="001517FF"/>
    <w:rsid w:val="00151BCD"/>
    <w:rsid w:val="00152101"/>
    <w:rsid w:val="00152B8A"/>
    <w:rsid w:val="00152D30"/>
    <w:rsid w:val="001532AD"/>
    <w:rsid w:val="001538B9"/>
    <w:rsid w:val="00155197"/>
    <w:rsid w:val="00156639"/>
    <w:rsid w:val="00157E6E"/>
    <w:rsid w:val="0016164A"/>
    <w:rsid w:val="001620A5"/>
    <w:rsid w:val="00163B05"/>
    <w:rsid w:val="00164657"/>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A215F"/>
    <w:rsid w:val="001A288E"/>
    <w:rsid w:val="001A3424"/>
    <w:rsid w:val="001A53C8"/>
    <w:rsid w:val="001A6CCC"/>
    <w:rsid w:val="001A74DD"/>
    <w:rsid w:val="001B0974"/>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74A0"/>
    <w:rsid w:val="001F7CC9"/>
    <w:rsid w:val="00201AA0"/>
    <w:rsid w:val="002028F1"/>
    <w:rsid w:val="00202959"/>
    <w:rsid w:val="00203171"/>
    <w:rsid w:val="0020370D"/>
    <w:rsid w:val="002067FF"/>
    <w:rsid w:val="00207ECF"/>
    <w:rsid w:val="002109B6"/>
    <w:rsid w:val="00210F47"/>
    <w:rsid w:val="00212533"/>
    <w:rsid w:val="002128AF"/>
    <w:rsid w:val="0021506D"/>
    <w:rsid w:val="00217268"/>
    <w:rsid w:val="0022048C"/>
    <w:rsid w:val="00221EE9"/>
    <w:rsid w:val="0022594B"/>
    <w:rsid w:val="00226716"/>
    <w:rsid w:val="00226F6C"/>
    <w:rsid w:val="00230996"/>
    <w:rsid w:val="00232A63"/>
    <w:rsid w:val="00234467"/>
    <w:rsid w:val="00234931"/>
    <w:rsid w:val="00235179"/>
    <w:rsid w:val="00237304"/>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938"/>
    <w:rsid w:val="00252AC1"/>
    <w:rsid w:val="00254FA4"/>
    <w:rsid w:val="00256530"/>
    <w:rsid w:val="002565D5"/>
    <w:rsid w:val="002601FE"/>
    <w:rsid w:val="00260432"/>
    <w:rsid w:val="00260A9D"/>
    <w:rsid w:val="00261738"/>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2454"/>
    <w:rsid w:val="002E2906"/>
    <w:rsid w:val="002E5635"/>
    <w:rsid w:val="002E5686"/>
    <w:rsid w:val="002E580D"/>
    <w:rsid w:val="002E64C3"/>
    <w:rsid w:val="002E6A2C"/>
    <w:rsid w:val="002E728C"/>
    <w:rsid w:val="002F17A4"/>
    <w:rsid w:val="002F1D8C"/>
    <w:rsid w:val="002F21DA"/>
    <w:rsid w:val="002F383C"/>
    <w:rsid w:val="002F5B42"/>
    <w:rsid w:val="002F5DC0"/>
    <w:rsid w:val="002F7096"/>
    <w:rsid w:val="00300306"/>
    <w:rsid w:val="00300743"/>
    <w:rsid w:val="00301F39"/>
    <w:rsid w:val="003037BA"/>
    <w:rsid w:val="003062BA"/>
    <w:rsid w:val="003074F9"/>
    <w:rsid w:val="00307562"/>
    <w:rsid w:val="00310828"/>
    <w:rsid w:val="0031342F"/>
    <w:rsid w:val="00317B35"/>
    <w:rsid w:val="00317BB8"/>
    <w:rsid w:val="0032055B"/>
    <w:rsid w:val="00321124"/>
    <w:rsid w:val="00321918"/>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885"/>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1230"/>
    <w:rsid w:val="003A2275"/>
    <w:rsid w:val="003A434E"/>
    <w:rsid w:val="003A6893"/>
    <w:rsid w:val="003A6A4F"/>
    <w:rsid w:val="003A7088"/>
    <w:rsid w:val="003B00DF"/>
    <w:rsid w:val="003B0103"/>
    <w:rsid w:val="003B09E3"/>
    <w:rsid w:val="003B1275"/>
    <w:rsid w:val="003B1778"/>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38D2"/>
    <w:rsid w:val="00424907"/>
    <w:rsid w:val="00424934"/>
    <w:rsid w:val="0042508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50227"/>
    <w:rsid w:val="004508A8"/>
    <w:rsid w:val="00451238"/>
    <w:rsid w:val="00453F9A"/>
    <w:rsid w:val="00454719"/>
    <w:rsid w:val="00454D4A"/>
    <w:rsid w:val="00454D7B"/>
    <w:rsid w:val="0045543D"/>
    <w:rsid w:val="00456E17"/>
    <w:rsid w:val="00460C4B"/>
    <w:rsid w:val="00461B41"/>
    <w:rsid w:val="0046319A"/>
    <w:rsid w:val="00463C18"/>
    <w:rsid w:val="004662C7"/>
    <w:rsid w:val="004662C8"/>
    <w:rsid w:val="00471C76"/>
    <w:rsid w:val="00471E91"/>
    <w:rsid w:val="00471FD3"/>
    <w:rsid w:val="00472CD2"/>
    <w:rsid w:val="00473638"/>
    <w:rsid w:val="00474675"/>
    <w:rsid w:val="0047470C"/>
    <w:rsid w:val="00476038"/>
    <w:rsid w:val="004761A4"/>
    <w:rsid w:val="00476B80"/>
    <w:rsid w:val="004771F6"/>
    <w:rsid w:val="004839C8"/>
    <w:rsid w:val="0048400C"/>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A7E3B"/>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632E"/>
    <w:rsid w:val="004D67DB"/>
    <w:rsid w:val="004D7D03"/>
    <w:rsid w:val="004E2887"/>
    <w:rsid w:val="004E32D5"/>
    <w:rsid w:val="004E3A6A"/>
    <w:rsid w:val="004E3B12"/>
    <w:rsid w:val="004E47BF"/>
    <w:rsid w:val="004E4C54"/>
    <w:rsid w:val="004F0D45"/>
    <w:rsid w:val="004F16EF"/>
    <w:rsid w:val="004F1A82"/>
    <w:rsid w:val="004F1F5C"/>
    <w:rsid w:val="004F2682"/>
    <w:rsid w:val="004F3C0D"/>
    <w:rsid w:val="004F3DAF"/>
    <w:rsid w:val="004F5B2D"/>
    <w:rsid w:val="004F738E"/>
    <w:rsid w:val="004F7F83"/>
    <w:rsid w:val="00500AC2"/>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164"/>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C2"/>
    <w:rsid w:val="005305F6"/>
    <w:rsid w:val="00530C2B"/>
    <w:rsid w:val="00530F95"/>
    <w:rsid w:val="00534A8A"/>
    <w:rsid w:val="00534C02"/>
    <w:rsid w:val="0053632F"/>
    <w:rsid w:val="005370CF"/>
    <w:rsid w:val="00540815"/>
    <w:rsid w:val="00540C0F"/>
    <w:rsid w:val="005414E1"/>
    <w:rsid w:val="00541A49"/>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2914"/>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3AFE"/>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480F"/>
    <w:rsid w:val="006F54C1"/>
    <w:rsid w:val="00701C9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36DB7"/>
    <w:rsid w:val="007419C3"/>
    <w:rsid w:val="00745F59"/>
    <w:rsid w:val="00746598"/>
    <w:rsid w:val="007467A7"/>
    <w:rsid w:val="007469DD"/>
    <w:rsid w:val="00747213"/>
    <w:rsid w:val="0074741B"/>
    <w:rsid w:val="0074759E"/>
    <w:rsid w:val="007478EA"/>
    <w:rsid w:val="0075415C"/>
    <w:rsid w:val="00756AD1"/>
    <w:rsid w:val="00757F89"/>
    <w:rsid w:val="00761433"/>
    <w:rsid w:val="00761947"/>
    <w:rsid w:val="00763502"/>
    <w:rsid w:val="007639C5"/>
    <w:rsid w:val="00764A40"/>
    <w:rsid w:val="00764BBA"/>
    <w:rsid w:val="0076694B"/>
    <w:rsid w:val="00767254"/>
    <w:rsid w:val="00770879"/>
    <w:rsid w:val="00770BFD"/>
    <w:rsid w:val="00773E77"/>
    <w:rsid w:val="00773F8A"/>
    <w:rsid w:val="007748BE"/>
    <w:rsid w:val="00775D7D"/>
    <w:rsid w:val="00776065"/>
    <w:rsid w:val="00786C02"/>
    <w:rsid w:val="007913AB"/>
    <w:rsid w:val="007914F7"/>
    <w:rsid w:val="00795630"/>
    <w:rsid w:val="00795B6F"/>
    <w:rsid w:val="00797B91"/>
    <w:rsid w:val="00797C48"/>
    <w:rsid w:val="007A3458"/>
    <w:rsid w:val="007A34BC"/>
    <w:rsid w:val="007A64F0"/>
    <w:rsid w:val="007B0199"/>
    <w:rsid w:val="007B1625"/>
    <w:rsid w:val="007B3E55"/>
    <w:rsid w:val="007B4284"/>
    <w:rsid w:val="007B5B54"/>
    <w:rsid w:val="007B6606"/>
    <w:rsid w:val="007B706E"/>
    <w:rsid w:val="007B71EB"/>
    <w:rsid w:val="007C04B4"/>
    <w:rsid w:val="007C2C9D"/>
    <w:rsid w:val="007C4F7D"/>
    <w:rsid w:val="007C6205"/>
    <w:rsid w:val="007C686A"/>
    <w:rsid w:val="007C6CAB"/>
    <w:rsid w:val="007C728E"/>
    <w:rsid w:val="007C7639"/>
    <w:rsid w:val="007C79AA"/>
    <w:rsid w:val="007D0084"/>
    <w:rsid w:val="007D2C53"/>
    <w:rsid w:val="007D32BF"/>
    <w:rsid w:val="007D37A1"/>
    <w:rsid w:val="007D3D60"/>
    <w:rsid w:val="007D4355"/>
    <w:rsid w:val="007D4682"/>
    <w:rsid w:val="007D533B"/>
    <w:rsid w:val="007D5E8C"/>
    <w:rsid w:val="007E03B3"/>
    <w:rsid w:val="007E1980"/>
    <w:rsid w:val="007E3341"/>
    <w:rsid w:val="007E4B76"/>
    <w:rsid w:val="007E5EA8"/>
    <w:rsid w:val="007E5EAB"/>
    <w:rsid w:val="007E67D0"/>
    <w:rsid w:val="007E6DA3"/>
    <w:rsid w:val="007F0B66"/>
    <w:rsid w:val="007F0CF1"/>
    <w:rsid w:val="007F12A5"/>
    <w:rsid w:val="007F1AC0"/>
    <w:rsid w:val="007F485F"/>
    <w:rsid w:val="007F4CF1"/>
    <w:rsid w:val="007F6105"/>
    <w:rsid w:val="007F758D"/>
    <w:rsid w:val="007F7965"/>
    <w:rsid w:val="007F79B9"/>
    <w:rsid w:val="007F7D52"/>
    <w:rsid w:val="007F7EFC"/>
    <w:rsid w:val="0080085A"/>
    <w:rsid w:val="00803C40"/>
    <w:rsid w:val="00804601"/>
    <w:rsid w:val="0080654C"/>
    <w:rsid w:val="00806FFE"/>
    <w:rsid w:val="008071C6"/>
    <w:rsid w:val="0080753F"/>
    <w:rsid w:val="00807955"/>
    <w:rsid w:val="00811066"/>
    <w:rsid w:val="00812519"/>
    <w:rsid w:val="00813170"/>
    <w:rsid w:val="00813DEB"/>
    <w:rsid w:val="008141E4"/>
    <w:rsid w:val="00815143"/>
    <w:rsid w:val="00817A00"/>
    <w:rsid w:val="00817B6F"/>
    <w:rsid w:val="008208DA"/>
    <w:rsid w:val="00821BBC"/>
    <w:rsid w:val="00822BB4"/>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C0F"/>
    <w:rsid w:val="00846918"/>
    <w:rsid w:val="008504A8"/>
    <w:rsid w:val="0085282E"/>
    <w:rsid w:val="00854937"/>
    <w:rsid w:val="00854938"/>
    <w:rsid w:val="00856114"/>
    <w:rsid w:val="008564BE"/>
    <w:rsid w:val="00857E79"/>
    <w:rsid w:val="00860CF2"/>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758"/>
    <w:rsid w:val="00882DB6"/>
    <w:rsid w:val="00883E50"/>
    <w:rsid w:val="008856D8"/>
    <w:rsid w:val="00885D59"/>
    <w:rsid w:val="008872FB"/>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5254"/>
    <w:rsid w:val="008B6C02"/>
    <w:rsid w:val="008B7C62"/>
    <w:rsid w:val="008B7D26"/>
    <w:rsid w:val="008C1A5F"/>
    <w:rsid w:val="008C1B58"/>
    <w:rsid w:val="008C1BD5"/>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30C2"/>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11C6"/>
    <w:rsid w:val="009413D3"/>
    <w:rsid w:val="009416D3"/>
    <w:rsid w:val="0094188E"/>
    <w:rsid w:val="00941D01"/>
    <w:rsid w:val="0094212C"/>
    <w:rsid w:val="00945450"/>
    <w:rsid w:val="00945772"/>
    <w:rsid w:val="00945DE4"/>
    <w:rsid w:val="00951074"/>
    <w:rsid w:val="0095196C"/>
    <w:rsid w:val="00951D4C"/>
    <w:rsid w:val="00952DB9"/>
    <w:rsid w:val="00954328"/>
    <w:rsid w:val="00954689"/>
    <w:rsid w:val="00954E8A"/>
    <w:rsid w:val="00954FC0"/>
    <w:rsid w:val="00956A49"/>
    <w:rsid w:val="00957A43"/>
    <w:rsid w:val="00957AF7"/>
    <w:rsid w:val="009604F7"/>
    <w:rsid w:val="0096113B"/>
    <w:rsid w:val="009617C9"/>
    <w:rsid w:val="00961C93"/>
    <w:rsid w:val="00962C22"/>
    <w:rsid w:val="00965324"/>
    <w:rsid w:val="00965B5F"/>
    <w:rsid w:val="00967B39"/>
    <w:rsid w:val="0097091E"/>
    <w:rsid w:val="00972416"/>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39E"/>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11D1"/>
    <w:rsid w:val="009E1415"/>
    <w:rsid w:val="009E159F"/>
    <w:rsid w:val="009E2A88"/>
    <w:rsid w:val="009E2F53"/>
    <w:rsid w:val="009E3852"/>
    <w:rsid w:val="009E60D9"/>
    <w:rsid w:val="009E6116"/>
    <w:rsid w:val="009F03D3"/>
    <w:rsid w:val="009F2D89"/>
    <w:rsid w:val="009F5E9F"/>
    <w:rsid w:val="009F6121"/>
    <w:rsid w:val="009F7E3E"/>
    <w:rsid w:val="00A01F2C"/>
    <w:rsid w:val="00A02E43"/>
    <w:rsid w:val="00A05255"/>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40793"/>
    <w:rsid w:val="00A40D00"/>
    <w:rsid w:val="00A4178A"/>
    <w:rsid w:val="00A4307A"/>
    <w:rsid w:val="00A443AE"/>
    <w:rsid w:val="00A462B8"/>
    <w:rsid w:val="00A463C1"/>
    <w:rsid w:val="00A47EBB"/>
    <w:rsid w:val="00A5187F"/>
    <w:rsid w:val="00A51CDD"/>
    <w:rsid w:val="00A52677"/>
    <w:rsid w:val="00A532CE"/>
    <w:rsid w:val="00A53A11"/>
    <w:rsid w:val="00A5589E"/>
    <w:rsid w:val="00A55B6B"/>
    <w:rsid w:val="00A60FB5"/>
    <w:rsid w:val="00A623A1"/>
    <w:rsid w:val="00A62930"/>
    <w:rsid w:val="00A6432D"/>
    <w:rsid w:val="00A6730D"/>
    <w:rsid w:val="00A71625"/>
    <w:rsid w:val="00A71B9B"/>
    <w:rsid w:val="00A7407B"/>
    <w:rsid w:val="00A741CC"/>
    <w:rsid w:val="00A74E43"/>
    <w:rsid w:val="00A751C7"/>
    <w:rsid w:val="00A75435"/>
    <w:rsid w:val="00A765E8"/>
    <w:rsid w:val="00A76AEF"/>
    <w:rsid w:val="00A77410"/>
    <w:rsid w:val="00A77626"/>
    <w:rsid w:val="00A811BF"/>
    <w:rsid w:val="00A8203A"/>
    <w:rsid w:val="00A82404"/>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3C32"/>
    <w:rsid w:val="00AB4769"/>
    <w:rsid w:val="00AB7963"/>
    <w:rsid w:val="00AC05B1"/>
    <w:rsid w:val="00AC144E"/>
    <w:rsid w:val="00AC2A14"/>
    <w:rsid w:val="00AC5067"/>
    <w:rsid w:val="00AC5075"/>
    <w:rsid w:val="00AC578E"/>
    <w:rsid w:val="00AC5E31"/>
    <w:rsid w:val="00AC5FDC"/>
    <w:rsid w:val="00AD02E3"/>
    <w:rsid w:val="00AD11F1"/>
    <w:rsid w:val="00AD23D9"/>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0256"/>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53EB"/>
    <w:rsid w:val="00B36015"/>
    <w:rsid w:val="00B36767"/>
    <w:rsid w:val="00B3760E"/>
    <w:rsid w:val="00B401AF"/>
    <w:rsid w:val="00B42A19"/>
    <w:rsid w:val="00B42ED7"/>
    <w:rsid w:val="00B439C4"/>
    <w:rsid w:val="00B4481C"/>
    <w:rsid w:val="00B4535E"/>
    <w:rsid w:val="00B45411"/>
    <w:rsid w:val="00B457A9"/>
    <w:rsid w:val="00B4680D"/>
    <w:rsid w:val="00B47DF3"/>
    <w:rsid w:val="00B512C8"/>
    <w:rsid w:val="00B51718"/>
    <w:rsid w:val="00B52A8C"/>
    <w:rsid w:val="00B53062"/>
    <w:rsid w:val="00B5507D"/>
    <w:rsid w:val="00B5567E"/>
    <w:rsid w:val="00B55C61"/>
    <w:rsid w:val="00B57AA5"/>
    <w:rsid w:val="00B605D4"/>
    <w:rsid w:val="00B60C79"/>
    <w:rsid w:val="00B61998"/>
    <w:rsid w:val="00B62F38"/>
    <w:rsid w:val="00B636A8"/>
    <w:rsid w:val="00B63854"/>
    <w:rsid w:val="00B63AFF"/>
    <w:rsid w:val="00B64987"/>
    <w:rsid w:val="00B665C6"/>
    <w:rsid w:val="00B7132C"/>
    <w:rsid w:val="00B7135D"/>
    <w:rsid w:val="00B71DED"/>
    <w:rsid w:val="00B72B4F"/>
    <w:rsid w:val="00B734F3"/>
    <w:rsid w:val="00B74075"/>
    <w:rsid w:val="00B741BA"/>
    <w:rsid w:val="00B75D2E"/>
    <w:rsid w:val="00B76AC6"/>
    <w:rsid w:val="00B80292"/>
    <w:rsid w:val="00B805AF"/>
    <w:rsid w:val="00B80D6E"/>
    <w:rsid w:val="00B812D7"/>
    <w:rsid w:val="00B84551"/>
    <w:rsid w:val="00B84F9C"/>
    <w:rsid w:val="00B869EC"/>
    <w:rsid w:val="00B8783F"/>
    <w:rsid w:val="00B878F3"/>
    <w:rsid w:val="00B90CB2"/>
    <w:rsid w:val="00B90D3E"/>
    <w:rsid w:val="00B91A3D"/>
    <w:rsid w:val="00B9397A"/>
    <w:rsid w:val="00B9633D"/>
    <w:rsid w:val="00B96F2D"/>
    <w:rsid w:val="00BA08B6"/>
    <w:rsid w:val="00BA0EDB"/>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10FC"/>
    <w:rsid w:val="00BE114B"/>
    <w:rsid w:val="00BE11CF"/>
    <w:rsid w:val="00BE1DCE"/>
    <w:rsid w:val="00BE21AB"/>
    <w:rsid w:val="00BE2E55"/>
    <w:rsid w:val="00BE3687"/>
    <w:rsid w:val="00BE51B4"/>
    <w:rsid w:val="00BE55CB"/>
    <w:rsid w:val="00BE644E"/>
    <w:rsid w:val="00BE74AB"/>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A6854"/>
    <w:rsid w:val="00CB15B9"/>
    <w:rsid w:val="00CB3477"/>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3978"/>
    <w:rsid w:val="00D25052"/>
    <w:rsid w:val="00D2507A"/>
    <w:rsid w:val="00D25852"/>
    <w:rsid w:val="00D26323"/>
    <w:rsid w:val="00D27ABB"/>
    <w:rsid w:val="00D323B2"/>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1C76"/>
    <w:rsid w:val="00D71DB4"/>
    <w:rsid w:val="00D72652"/>
    <w:rsid w:val="00D73DD9"/>
    <w:rsid w:val="00D74656"/>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978"/>
    <w:rsid w:val="00D91B56"/>
    <w:rsid w:val="00D924E5"/>
    <w:rsid w:val="00D9499A"/>
    <w:rsid w:val="00D94BE4"/>
    <w:rsid w:val="00D964EA"/>
    <w:rsid w:val="00D966D0"/>
    <w:rsid w:val="00DA0C59"/>
    <w:rsid w:val="00DA0F00"/>
    <w:rsid w:val="00DA1A38"/>
    <w:rsid w:val="00DA2CF8"/>
    <w:rsid w:val="00DA3011"/>
    <w:rsid w:val="00DA3991"/>
    <w:rsid w:val="00DA72F1"/>
    <w:rsid w:val="00DB07B9"/>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0176"/>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3270"/>
    <w:rsid w:val="00E6484F"/>
    <w:rsid w:val="00E65639"/>
    <w:rsid w:val="00E676A3"/>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5FA"/>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7465"/>
    <w:rsid w:val="00F607A9"/>
    <w:rsid w:val="00F64B1C"/>
    <w:rsid w:val="00F64CA6"/>
    <w:rsid w:val="00F65128"/>
    <w:rsid w:val="00F6514D"/>
    <w:rsid w:val="00F65F16"/>
    <w:rsid w:val="00F6636A"/>
    <w:rsid w:val="00F66A92"/>
    <w:rsid w:val="00F7047D"/>
    <w:rsid w:val="00F71B59"/>
    <w:rsid w:val="00F72805"/>
    <w:rsid w:val="00F74B11"/>
    <w:rsid w:val="00F74CEB"/>
    <w:rsid w:val="00F80CAD"/>
    <w:rsid w:val="00F80D6B"/>
    <w:rsid w:val="00F81273"/>
    <w:rsid w:val="00F81D29"/>
    <w:rsid w:val="00F82999"/>
    <w:rsid w:val="00F82DDD"/>
    <w:rsid w:val="00F83415"/>
    <w:rsid w:val="00F85D61"/>
    <w:rsid w:val="00F863CD"/>
    <w:rsid w:val="00F906BE"/>
    <w:rsid w:val="00F91C4D"/>
    <w:rsid w:val="00F92FD9"/>
    <w:rsid w:val="00F935B9"/>
    <w:rsid w:val="00F95AE2"/>
    <w:rsid w:val="00F9659E"/>
    <w:rsid w:val="00F97113"/>
    <w:rsid w:val="00FA0819"/>
    <w:rsid w:val="00FA127D"/>
    <w:rsid w:val="00FA4570"/>
    <w:rsid w:val="00FA4AAA"/>
    <w:rsid w:val="00FA4D95"/>
    <w:rsid w:val="00FA6684"/>
    <w:rsid w:val="00FA7034"/>
    <w:rsid w:val="00FA731E"/>
    <w:rsid w:val="00FA753D"/>
    <w:rsid w:val="00FA7AC8"/>
    <w:rsid w:val="00FB1B4F"/>
    <w:rsid w:val="00FB26F3"/>
    <w:rsid w:val="00FB2B38"/>
    <w:rsid w:val="00FB3872"/>
    <w:rsid w:val="00FB456D"/>
    <w:rsid w:val="00FB45C2"/>
    <w:rsid w:val="00FB5010"/>
    <w:rsid w:val="00FB69FB"/>
    <w:rsid w:val="00FC0857"/>
    <w:rsid w:val="00FC1CFF"/>
    <w:rsid w:val="00FC256D"/>
    <w:rsid w:val="00FC2F03"/>
    <w:rsid w:val="00FC2FCD"/>
    <w:rsid w:val="00FC3885"/>
    <w:rsid w:val="00FC6316"/>
    <w:rsid w:val="00FC6358"/>
    <w:rsid w:val="00FD116E"/>
    <w:rsid w:val="00FD166F"/>
    <w:rsid w:val="00FD18F4"/>
    <w:rsid w:val="00FD320D"/>
    <w:rsid w:val="00FD35A6"/>
    <w:rsid w:val="00FD3D62"/>
    <w:rsid w:val="00FD51D3"/>
    <w:rsid w:val="00FD6EAA"/>
    <w:rsid w:val="00FE1EF5"/>
    <w:rsid w:val="00FE23DE"/>
    <w:rsid w:val="00FE2AB5"/>
    <w:rsid w:val="00FE3823"/>
    <w:rsid w:val="00FE72C0"/>
    <w:rsid w:val="00FE7461"/>
    <w:rsid w:val="00FE76FB"/>
    <w:rsid w:val="00FE79B5"/>
    <w:rsid w:val="00FF17E8"/>
    <w:rsid w:val="00FF27B5"/>
    <w:rsid w:val="00FF3063"/>
    <w:rsid w:val="00FF36F9"/>
    <w:rsid w:val="00FF3EEA"/>
    <w:rsid w:val="00FF50B6"/>
    <w:rsid w:val="00FF5197"/>
    <w:rsid w:val="00FF5394"/>
    <w:rsid w:val="00FF6686"/>
    <w:rsid w:val="00FF7451"/>
    <w:rsid w:val="012B33BB"/>
    <w:rsid w:val="014E2752"/>
    <w:rsid w:val="016C7CC3"/>
    <w:rsid w:val="01D47042"/>
    <w:rsid w:val="01E23011"/>
    <w:rsid w:val="01E32144"/>
    <w:rsid w:val="02083BFD"/>
    <w:rsid w:val="02A9200B"/>
    <w:rsid w:val="02B700FB"/>
    <w:rsid w:val="02EB36F5"/>
    <w:rsid w:val="02F761B8"/>
    <w:rsid w:val="0315177F"/>
    <w:rsid w:val="032B65BF"/>
    <w:rsid w:val="03344849"/>
    <w:rsid w:val="0345779D"/>
    <w:rsid w:val="0374355B"/>
    <w:rsid w:val="03C31193"/>
    <w:rsid w:val="03CF5817"/>
    <w:rsid w:val="03DF60D0"/>
    <w:rsid w:val="04026E21"/>
    <w:rsid w:val="04226A49"/>
    <w:rsid w:val="04846018"/>
    <w:rsid w:val="049A42BD"/>
    <w:rsid w:val="04C174DB"/>
    <w:rsid w:val="04C33F58"/>
    <w:rsid w:val="056838CD"/>
    <w:rsid w:val="05BD70ED"/>
    <w:rsid w:val="05FC138B"/>
    <w:rsid w:val="05FE59B3"/>
    <w:rsid w:val="069B0B4F"/>
    <w:rsid w:val="069C10DD"/>
    <w:rsid w:val="06BB7349"/>
    <w:rsid w:val="072A6A3D"/>
    <w:rsid w:val="07376205"/>
    <w:rsid w:val="07CE7720"/>
    <w:rsid w:val="08303932"/>
    <w:rsid w:val="08A64F02"/>
    <w:rsid w:val="08C15739"/>
    <w:rsid w:val="08CF1E16"/>
    <w:rsid w:val="08F261EA"/>
    <w:rsid w:val="095B2385"/>
    <w:rsid w:val="09D43B87"/>
    <w:rsid w:val="0A064ACC"/>
    <w:rsid w:val="0A34459B"/>
    <w:rsid w:val="0A3916D6"/>
    <w:rsid w:val="0A7357B7"/>
    <w:rsid w:val="0AB022E0"/>
    <w:rsid w:val="0AB67731"/>
    <w:rsid w:val="0AD73C50"/>
    <w:rsid w:val="0B0F4E4C"/>
    <w:rsid w:val="0B6C018C"/>
    <w:rsid w:val="0C442907"/>
    <w:rsid w:val="0C82014C"/>
    <w:rsid w:val="0C853BEE"/>
    <w:rsid w:val="0CAE794C"/>
    <w:rsid w:val="0D29592A"/>
    <w:rsid w:val="0D655EEE"/>
    <w:rsid w:val="0D6F23BB"/>
    <w:rsid w:val="0D9905EA"/>
    <w:rsid w:val="0DB20E25"/>
    <w:rsid w:val="0DBB0B18"/>
    <w:rsid w:val="0DC128CE"/>
    <w:rsid w:val="0E1C0301"/>
    <w:rsid w:val="0E290B8B"/>
    <w:rsid w:val="0E6077C2"/>
    <w:rsid w:val="0E903DF5"/>
    <w:rsid w:val="0EB21660"/>
    <w:rsid w:val="0EEB4866"/>
    <w:rsid w:val="0F0E4486"/>
    <w:rsid w:val="0F3E2C9A"/>
    <w:rsid w:val="0F6615D0"/>
    <w:rsid w:val="0F8D0D8F"/>
    <w:rsid w:val="0FC95CDC"/>
    <w:rsid w:val="0FD835FF"/>
    <w:rsid w:val="10B2259A"/>
    <w:rsid w:val="10B7369C"/>
    <w:rsid w:val="10C2148D"/>
    <w:rsid w:val="10EE7E36"/>
    <w:rsid w:val="111F7DDE"/>
    <w:rsid w:val="116163AD"/>
    <w:rsid w:val="11E440DC"/>
    <w:rsid w:val="11EE159A"/>
    <w:rsid w:val="11F86D02"/>
    <w:rsid w:val="12000C94"/>
    <w:rsid w:val="12191406"/>
    <w:rsid w:val="123252C8"/>
    <w:rsid w:val="12544C98"/>
    <w:rsid w:val="12A8648C"/>
    <w:rsid w:val="12D22A3F"/>
    <w:rsid w:val="12F51343"/>
    <w:rsid w:val="132E6073"/>
    <w:rsid w:val="13534586"/>
    <w:rsid w:val="139C55F6"/>
    <w:rsid w:val="13C24CE7"/>
    <w:rsid w:val="13DE3B91"/>
    <w:rsid w:val="13E05EA6"/>
    <w:rsid w:val="1402395C"/>
    <w:rsid w:val="14574217"/>
    <w:rsid w:val="14B355D3"/>
    <w:rsid w:val="14B4078F"/>
    <w:rsid w:val="14D4722E"/>
    <w:rsid w:val="14FF06B5"/>
    <w:rsid w:val="151179AB"/>
    <w:rsid w:val="15404C6A"/>
    <w:rsid w:val="15730D74"/>
    <w:rsid w:val="1590631A"/>
    <w:rsid w:val="15AA616B"/>
    <w:rsid w:val="15C45DE3"/>
    <w:rsid w:val="16092F72"/>
    <w:rsid w:val="16584D49"/>
    <w:rsid w:val="166149F5"/>
    <w:rsid w:val="1664146D"/>
    <w:rsid w:val="169657C9"/>
    <w:rsid w:val="16BC5BFD"/>
    <w:rsid w:val="16CF580F"/>
    <w:rsid w:val="170B1523"/>
    <w:rsid w:val="17507794"/>
    <w:rsid w:val="17587F5F"/>
    <w:rsid w:val="1779182C"/>
    <w:rsid w:val="177A37B1"/>
    <w:rsid w:val="178B568F"/>
    <w:rsid w:val="17A54783"/>
    <w:rsid w:val="17C07103"/>
    <w:rsid w:val="17F53B66"/>
    <w:rsid w:val="18192392"/>
    <w:rsid w:val="1830795A"/>
    <w:rsid w:val="186C2D87"/>
    <w:rsid w:val="18EA131C"/>
    <w:rsid w:val="198A0119"/>
    <w:rsid w:val="19936F3F"/>
    <w:rsid w:val="19BD4657"/>
    <w:rsid w:val="19C63E21"/>
    <w:rsid w:val="19CC1A39"/>
    <w:rsid w:val="19E7245F"/>
    <w:rsid w:val="1A350D1C"/>
    <w:rsid w:val="1A3E0FD5"/>
    <w:rsid w:val="1A591E48"/>
    <w:rsid w:val="1A8A76F9"/>
    <w:rsid w:val="1AA7182B"/>
    <w:rsid w:val="1AAC15C0"/>
    <w:rsid w:val="1AC83294"/>
    <w:rsid w:val="1AED072E"/>
    <w:rsid w:val="1AF14592"/>
    <w:rsid w:val="1AF855F3"/>
    <w:rsid w:val="1AFA51A4"/>
    <w:rsid w:val="1B525BD1"/>
    <w:rsid w:val="1BCA4120"/>
    <w:rsid w:val="1BF5028C"/>
    <w:rsid w:val="1C43345C"/>
    <w:rsid w:val="1C536B8E"/>
    <w:rsid w:val="1CAE52B5"/>
    <w:rsid w:val="1CC06BCD"/>
    <w:rsid w:val="1D50515B"/>
    <w:rsid w:val="1D5E7E73"/>
    <w:rsid w:val="1E141BCE"/>
    <w:rsid w:val="1E1B5935"/>
    <w:rsid w:val="1E2B6A3C"/>
    <w:rsid w:val="1E911BEF"/>
    <w:rsid w:val="1E95165E"/>
    <w:rsid w:val="1E9D0EC2"/>
    <w:rsid w:val="1EA60687"/>
    <w:rsid w:val="1F154D67"/>
    <w:rsid w:val="1F1F37E8"/>
    <w:rsid w:val="1FBC114F"/>
    <w:rsid w:val="1FF16B72"/>
    <w:rsid w:val="20210964"/>
    <w:rsid w:val="202C474F"/>
    <w:rsid w:val="2086204B"/>
    <w:rsid w:val="20B5531D"/>
    <w:rsid w:val="20D42963"/>
    <w:rsid w:val="20EF3E66"/>
    <w:rsid w:val="20FE4384"/>
    <w:rsid w:val="20FF26D4"/>
    <w:rsid w:val="21726BBF"/>
    <w:rsid w:val="220466E4"/>
    <w:rsid w:val="22105A0E"/>
    <w:rsid w:val="2216443D"/>
    <w:rsid w:val="221D5287"/>
    <w:rsid w:val="222B2A65"/>
    <w:rsid w:val="223E2636"/>
    <w:rsid w:val="22CD6D83"/>
    <w:rsid w:val="235148C9"/>
    <w:rsid w:val="236C4958"/>
    <w:rsid w:val="23D8277F"/>
    <w:rsid w:val="23EF41C9"/>
    <w:rsid w:val="240B106D"/>
    <w:rsid w:val="241311E2"/>
    <w:rsid w:val="24911416"/>
    <w:rsid w:val="24BD042D"/>
    <w:rsid w:val="24E65FF6"/>
    <w:rsid w:val="250821C0"/>
    <w:rsid w:val="253D74B2"/>
    <w:rsid w:val="25444BEA"/>
    <w:rsid w:val="254F19CC"/>
    <w:rsid w:val="25EB1853"/>
    <w:rsid w:val="25EF7A4A"/>
    <w:rsid w:val="26176F5C"/>
    <w:rsid w:val="26761EFD"/>
    <w:rsid w:val="26F56A48"/>
    <w:rsid w:val="27552654"/>
    <w:rsid w:val="27CD2A8F"/>
    <w:rsid w:val="281C2032"/>
    <w:rsid w:val="287559C9"/>
    <w:rsid w:val="28DA5435"/>
    <w:rsid w:val="28F2444D"/>
    <w:rsid w:val="294439DB"/>
    <w:rsid w:val="297C7C3F"/>
    <w:rsid w:val="29D11A3A"/>
    <w:rsid w:val="29D8754B"/>
    <w:rsid w:val="2A7F577C"/>
    <w:rsid w:val="2AB41F4D"/>
    <w:rsid w:val="2ACA7B1F"/>
    <w:rsid w:val="2B022855"/>
    <w:rsid w:val="2B0A44A3"/>
    <w:rsid w:val="2B427AEE"/>
    <w:rsid w:val="2B561FD5"/>
    <w:rsid w:val="2B67742E"/>
    <w:rsid w:val="2BA22696"/>
    <w:rsid w:val="2BDE6E44"/>
    <w:rsid w:val="2BF5480C"/>
    <w:rsid w:val="2C18581D"/>
    <w:rsid w:val="2C452528"/>
    <w:rsid w:val="2C6A5F52"/>
    <w:rsid w:val="2CA02791"/>
    <w:rsid w:val="2CD801D3"/>
    <w:rsid w:val="2D306953"/>
    <w:rsid w:val="2D536727"/>
    <w:rsid w:val="2D5D0166"/>
    <w:rsid w:val="2D8F24D9"/>
    <w:rsid w:val="2D953292"/>
    <w:rsid w:val="2DB20314"/>
    <w:rsid w:val="2DB40DF9"/>
    <w:rsid w:val="2DBF1C43"/>
    <w:rsid w:val="2DC22738"/>
    <w:rsid w:val="2DD35F6D"/>
    <w:rsid w:val="2DF064D1"/>
    <w:rsid w:val="2E94059D"/>
    <w:rsid w:val="2EB779B0"/>
    <w:rsid w:val="2EBB3F42"/>
    <w:rsid w:val="2ECE00BB"/>
    <w:rsid w:val="2F260132"/>
    <w:rsid w:val="2F561AA3"/>
    <w:rsid w:val="2F57567B"/>
    <w:rsid w:val="2FB03979"/>
    <w:rsid w:val="2FB7428F"/>
    <w:rsid w:val="2FEB0B47"/>
    <w:rsid w:val="2FFE7EAF"/>
    <w:rsid w:val="30496C0B"/>
    <w:rsid w:val="30E41023"/>
    <w:rsid w:val="30FA466A"/>
    <w:rsid w:val="31121794"/>
    <w:rsid w:val="313B6B20"/>
    <w:rsid w:val="31B407A6"/>
    <w:rsid w:val="31C610F7"/>
    <w:rsid w:val="32F72AF2"/>
    <w:rsid w:val="336848CD"/>
    <w:rsid w:val="337C50B8"/>
    <w:rsid w:val="339838F6"/>
    <w:rsid w:val="34452167"/>
    <w:rsid w:val="34692F69"/>
    <w:rsid w:val="34897612"/>
    <w:rsid w:val="34D45099"/>
    <w:rsid w:val="34FB453A"/>
    <w:rsid w:val="353477D7"/>
    <w:rsid w:val="35515905"/>
    <w:rsid w:val="35833359"/>
    <w:rsid w:val="35F7429D"/>
    <w:rsid w:val="360925CD"/>
    <w:rsid w:val="362A529F"/>
    <w:rsid w:val="364904A4"/>
    <w:rsid w:val="365A7CAA"/>
    <w:rsid w:val="36706899"/>
    <w:rsid w:val="3685055C"/>
    <w:rsid w:val="368E30E6"/>
    <w:rsid w:val="36A645E9"/>
    <w:rsid w:val="370F0982"/>
    <w:rsid w:val="37285302"/>
    <w:rsid w:val="37517D8A"/>
    <w:rsid w:val="37802C6E"/>
    <w:rsid w:val="37A872F1"/>
    <w:rsid w:val="37E35988"/>
    <w:rsid w:val="37FF3C55"/>
    <w:rsid w:val="3831269D"/>
    <w:rsid w:val="38631FE7"/>
    <w:rsid w:val="38B455EE"/>
    <w:rsid w:val="38CE6B54"/>
    <w:rsid w:val="39071D3E"/>
    <w:rsid w:val="391814F1"/>
    <w:rsid w:val="393854F4"/>
    <w:rsid w:val="39970DDE"/>
    <w:rsid w:val="39CB4808"/>
    <w:rsid w:val="3A0210F1"/>
    <w:rsid w:val="3A331955"/>
    <w:rsid w:val="3A45446C"/>
    <w:rsid w:val="3A465219"/>
    <w:rsid w:val="3A5C76C8"/>
    <w:rsid w:val="3B355CC4"/>
    <w:rsid w:val="3B3C7EE3"/>
    <w:rsid w:val="3B550268"/>
    <w:rsid w:val="3B7F14EE"/>
    <w:rsid w:val="3B984590"/>
    <w:rsid w:val="3BD56D8E"/>
    <w:rsid w:val="3BFF6F32"/>
    <w:rsid w:val="3C8B1B00"/>
    <w:rsid w:val="3CB6047D"/>
    <w:rsid w:val="3D674873"/>
    <w:rsid w:val="3D9D6274"/>
    <w:rsid w:val="3DA65ACB"/>
    <w:rsid w:val="3DBA6615"/>
    <w:rsid w:val="3E0454AD"/>
    <w:rsid w:val="3E1C7721"/>
    <w:rsid w:val="3E260A59"/>
    <w:rsid w:val="3E2D1A41"/>
    <w:rsid w:val="3E35256C"/>
    <w:rsid w:val="3E911B48"/>
    <w:rsid w:val="3EA0554E"/>
    <w:rsid w:val="3EB80717"/>
    <w:rsid w:val="3EFE40D8"/>
    <w:rsid w:val="3F3849E5"/>
    <w:rsid w:val="3F73F702"/>
    <w:rsid w:val="3F762A19"/>
    <w:rsid w:val="3F7708EC"/>
    <w:rsid w:val="3F9A18D0"/>
    <w:rsid w:val="3F9B0FB0"/>
    <w:rsid w:val="3FBE22D1"/>
    <w:rsid w:val="400B0893"/>
    <w:rsid w:val="402B78C1"/>
    <w:rsid w:val="40455393"/>
    <w:rsid w:val="40CE3179"/>
    <w:rsid w:val="40F01A1C"/>
    <w:rsid w:val="40F457EB"/>
    <w:rsid w:val="4105229D"/>
    <w:rsid w:val="41055DF9"/>
    <w:rsid w:val="411F32D8"/>
    <w:rsid w:val="41694ED7"/>
    <w:rsid w:val="4187761F"/>
    <w:rsid w:val="41907ED6"/>
    <w:rsid w:val="41A47FEC"/>
    <w:rsid w:val="424B0336"/>
    <w:rsid w:val="425F1FBD"/>
    <w:rsid w:val="427C7B68"/>
    <w:rsid w:val="4283582D"/>
    <w:rsid w:val="42844B5D"/>
    <w:rsid w:val="43084599"/>
    <w:rsid w:val="432412B7"/>
    <w:rsid w:val="432C0668"/>
    <w:rsid w:val="43761DB4"/>
    <w:rsid w:val="43AF4742"/>
    <w:rsid w:val="44115F78"/>
    <w:rsid w:val="444F6011"/>
    <w:rsid w:val="44B13A8B"/>
    <w:rsid w:val="453B0411"/>
    <w:rsid w:val="4545429F"/>
    <w:rsid w:val="458C4E9B"/>
    <w:rsid w:val="460A15DB"/>
    <w:rsid w:val="463E5CE2"/>
    <w:rsid w:val="46D600E4"/>
    <w:rsid w:val="46F72C6E"/>
    <w:rsid w:val="46F801AE"/>
    <w:rsid w:val="476900F7"/>
    <w:rsid w:val="477D32ED"/>
    <w:rsid w:val="47844DE2"/>
    <w:rsid w:val="47CF0481"/>
    <w:rsid w:val="47D25DDC"/>
    <w:rsid w:val="482821E8"/>
    <w:rsid w:val="483D583A"/>
    <w:rsid w:val="48411076"/>
    <w:rsid w:val="48551516"/>
    <w:rsid w:val="48563717"/>
    <w:rsid w:val="4861155E"/>
    <w:rsid w:val="487B7A3A"/>
    <w:rsid w:val="487D0848"/>
    <w:rsid w:val="48A92F45"/>
    <w:rsid w:val="48CD5F6D"/>
    <w:rsid w:val="48D34ABF"/>
    <w:rsid w:val="48D80745"/>
    <w:rsid w:val="48F0223F"/>
    <w:rsid w:val="48FA6023"/>
    <w:rsid w:val="492F5B52"/>
    <w:rsid w:val="496A012C"/>
    <w:rsid w:val="498224D0"/>
    <w:rsid w:val="49A859A4"/>
    <w:rsid w:val="4A014C09"/>
    <w:rsid w:val="4A19502B"/>
    <w:rsid w:val="4A454764"/>
    <w:rsid w:val="4A5D4EF8"/>
    <w:rsid w:val="4AA10E3D"/>
    <w:rsid w:val="4ACE05ED"/>
    <w:rsid w:val="4AE42542"/>
    <w:rsid w:val="4AF6185F"/>
    <w:rsid w:val="4B2F2C8C"/>
    <w:rsid w:val="4B4D7842"/>
    <w:rsid w:val="4B9968B0"/>
    <w:rsid w:val="4BA37EA7"/>
    <w:rsid w:val="4BAC3A1E"/>
    <w:rsid w:val="4BD7224A"/>
    <w:rsid w:val="4BDD753E"/>
    <w:rsid w:val="4BEB6E7D"/>
    <w:rsid w:val="4C0C0CE8"/>
    <w:rsid w:val="4C276070"/>
    <w:rsid w:val="4C3F189C"/>
    <w:rsid w:val="4C492E7B"/>
    <w:rsid w:val="4C8F03C7"/>
    <w:rsid w:val="4CAC2377"/>
    <w:rsid w:val="4D141F35"/>
    <w:rsid w:val="4D325BA4"/>
    <w:rsid w:val="4D491763"/>
    <w:rsid w:val="4DA50AA8"/>
    <w:rsid w:val="4DD220B8"/>
    <w:rsid w:val="4DFD0382"/>
    <w:rsid w:val="4E1D71F8"/>
    <w:rsid w:val="4E256F9B"/>
    <w:rsid w:val="4E613D73"/>
    <w:rsid w:val="4E772AF2"/>
    <w:rsid w:val="4ED30A59"/>
    <w:rsid w:val="4ED66442"/>
    <w:rsid w:val="4EE51018"/>
    <w:rsid w:val="4EFC368D"/>
    <w:rsid w:val="4F72048F"/>
    <w:rsid w:val="4FB84838"/>
    <w:rsid w:val="4FCC5728"/>
    <w:rsid w:val="4FD35328"/>
    <w:rsid w:val="4FD83CD7"/>
    <w:rsid w:val="4FF91241"/>
    <w:rsid w:val="4FFD4FB5"/>
    <w:rsid w:val="50362BA7"/>
    <w:rsid w:val="5045312D"/>
    <w:rsid w:val="50995CB8"/>
    <w:rsid w:val="50D31B5E"/>
    <w:rsid w:val="50E63E09"/>
    <w:rsid w:val="51005D41"/>
    <w:rsid w:val="51083000"/>
    <w:rsid w:val="51151CC0"/>
    <w:rsid w:val="517A638F"/>
    <w:rsid w:val="521A547C"/>
    <w:rsid w:val="5227792F"/>
    <w:rsid w:val="526305AF"/>
    <w:rsid w:val="5276041E"/>
    <w:rsid w:val="52CC7EBA"/>
    <w:rsid w:val="530578C6"/>
    <w:rsid w:val="5317723A"/>
    <w:rsid w:val="53425A77"/>
    <w:rsid w:val="53A049FE"/>
    <w:rsid w:val="53CFF56B"/>
    <w:rsid w:val="53DD53FF"/>
    <w:rsid w:val="53F90A50"/>
    <w:rsid w:val="54113347"/>
    <w:rsid w:val="54474969"/>
    <w:rsid w:val="54752EF4"/>
    <w:rsid w:val="549015A5"/>
    <w:rsid w:val="54BD2EB6"/>
    <w:rsid w:val="54E52054"/>
    <w:rsid w:val="54E83D4F"/>
    <w:rsid w:val="551F3036"/>
    <w:rsid w:val="5565258B"/>
    <w:rsid w:val="558028DE"/>
    <w:rsid w:val="55977ACF"/>
    <w:rsid w:val="55AC7DD5"/>
    <w:rsid w:val="55F179CD"/>
    <w:rsid w:val="55FD3239"/>
    <w:rsid w:val="56586C3F"/>
    <w:rsid w:val="565F4D4D"/>
    <w:rsid w:val="56715033"/>
    <w:rsid w:val="56AC67FE"/>
    <w:rsid w:val="56B35E6B"/>
    <w:rsid w:val="56BF7206"/>
    <w:rsid w:val="56CB7055"/>
    <w:rsid w:val="56CF60C6"/>
    <w:rsid w:val="56CF7735"/>
    <w:rsid w:val="56D96B50"/>
    <w:rsid w:val="5703647A"/>
    <w:rsid w:val="577B69BD"/>
    <w:rsid w:val="578238A9"/>
    <w:rsid w:val="578A70E8"/>
    <w:rsid w:val="57E14D98"/>
    <w:rsid w:val="57FF24F8"/>
    <w:rsid w:val="5856258E"/>
    <w:rsid w:val="585A0E11"/>
    <w:rsid w:val="58E85AC9"/>
    <w:rsid w:val="58F46EE6"/>
    <w:rsid w:val="58F710A7"/>
    <w:rsid w:val="592B4FC2"/>
    <w:rsid w:val="594E6182"/>
    <w:rsid w:val="599D1F6D"/>
    <w:rsid w:val="5A067A63"/>
    <w:rsid w:val="5A3D7199"/>
    <w:rsid w:val="5A59490D"/>
    <w:rsid w:val="5AAE29AF"/>
    <w:rsid w:val="5AB11B44"/>
    <w:rsid w:val="5AD24544"/>
    <w:rsid w:val="5B48394E"/>
    <w:rsid w:val="5B744B3D"/>
    <w:rsid w:val="5BED7EA8"/>
    <w:rsid w:val="5C2948BB"/>
    <w:rsid w:val="5C66673F"/>
    <w:rsid w:val="5D091E77"/>
    <w:rsid w:val="5D11750E"/>
    <w:rsid w:val="5D293AFC"/>
    <w:rsid w:val="5D331526"/>
    <w:rsid w:val="5D7FE701"/>
    <w:rsid w:val="5E0B7695"/>
    <w:rsid w:val="5E0F15F0"/>
    <w:rsid w:val="5E2C5B83"/>
    <w:rsid w:val="5E3132AC"/>
    <w:rsid w:val="5E5715A1"/>
    <w:rsid w:val="5E5A2370"/>
    <w:rsid w:val="5E6173AC"/>
    <w:rsid w:val="5E6B31FC"/>
    <w:rsid w:val="5E72613B"/>
    <w:rsid w:val="5E756BD4"/>
    <w:rsid w:val="5EC67433"/>
    <w:rsid w:val="5EDA221B"/>
    <w:rsid w:val="5F1B6F15"/>
    <w:rsid w:val="5F3C5DEE"/>
    <w:rsid w:val="5F55F711"/>
    <w:rsid w:val="5F764CCE"/>
    <w:rsid w:val="5F9742FD"/>
    <w:rsid w:val="5F981A4A"/>
    <w:rsid w:val="5FE00004"/>
    <w:rsid w:val="6025404D"/>
    <w:rsid w:val="60584477"/>
    <w:rsid w:val="606B62D0"/>
    <w:rsid w:val="60D92808"/>
    <w:rsid w:val="60F40053"/>
    <w:rsid w:val="610125A0"/>
    <w:rsid w:val="616A0B29"/>
    <w:rsid w:val="6181103C"/>
    <w:rsid w:val="61AA67D5"/>
    <w:rsid w:val="61CF20BD"/>
    <w:rsid w:val="621C5C61"/>
    <w:rsid w:val="62283ED1"/>
    <w:rsid w:val="625B1D8F"/>
    <w:rsid w:val="627319A6"/>
    <w:rsid w:val="6297049C"/>
    <w:rsid w:val="62BD56FF"/>
    <w:rsid w:val="62EE2EF6"/>
    <w:rsid w:val="62EE60E7"/>
    <w:rsid w:val="630104BC"/>
    <w:rsid w:val="631E4199"/>
    <w:rsid w:val="63893E2F"/>
    <w:rsid w:val="638F7F6C"/>
    <w:rsid w:val="639C078F"/>
    <w:rsid w:val="63C3380F"/>
    <w:rsid w:val="64264155"/>
    <w:rsid w:val="645042C8"/>
    <w:rsid w:val="645BD128"/>
    <w:rsid w:val="64752A78"/>
    <w:rsid w:val="64F53867"/>
    <w:rsid w:val="651A7A3F"/>
    <w:rsid w:val="65236D05"/>
    <w:rsid w:val="652C23A3"/>
    <w:rsid w:val="659B31A6"/>
    <w:rsid w:val="65C16777"/>
    <w:rsid w:val="65E853BC"/>
    <w:rsid w:val="661F2235"/>
    <w:rsid w:val="663B5E9C"/>
    <w:rsid w:val="66932A4A"/>
    <w:rsid w:val="669522AC"/>
    <w:rsid w:val="66F503A6"/>
    <w:rsid w:val="67543DDA"/>
    <w:rsid w:val="67777DA6"/>
    <w:rsid w:val="678917E8"/>
    <w:rsid w:val="67B33D95"/>
    <w:rsid w:val="67DF1150"/>
    <w:rsid w:val="67F1BD10"/>
    <w:rsid w:val="67FB26F4"/>
    <w:rsid w:val="68075A2D"/>
    <w:rsid w:val="681F2BD7"/>
    <w:rsid w:val="685E0A2B"/>
    <w:rsid w:val="68703BF0"/>
    <w:rsid w:val="68786D04"/>
    <w:rsid w:val="68A95E15"/>
    <w:rsid w:val="68C010F5"/>
    <w:rsid w:val="68FE5149"/>
    <w:rsid w:val="69100201"/>
    <w:rsid w:val="693A4850"/>
    <w:rsid w:val="69807B79"/>
    <w:rsid w:val="69B30BD9"/>
    <w:rsid w:val="69EE0B74"/>
    <w:rsid w:val="6A004491"/>
    <w:rsid w:val="6A1267FE"/>
    <w:rsid w:val="6A7B6F15"/>
    <w:rsid w:val="6AD96DFD"/>
    <w:rsid w:val="6B3C4CD4"/>
    <w:rsid w:val="6B410ECF"/>
    <w:rsid w:val="6BC109EB"/>
    <w:rsid w:val="6BCB1B93"/>
    <w:rsid w:val="6BD62F07"/>
    <w:rsid w:val="6C83458F"/>
    <w:rsid w:val="6CC40994"/>
    <w:rsid w:val="6D1F1741"/>
    <w:rsid w:val="6D7502F6"/>
    <w:rsid w:val="6D822E3C"/>
    <w:rsid w:val="6DE17231"/>
    <w:rsid w:val="6E003AF0"/>
    <w:rsid w:val="6E024DFD"/>
    <w:rsid w:val="6E1F7FC7"/>
    <w:rsid w:val="6E764C81"/>
    <w:rsid w:val="6E851928"/>
    <w:rsid w:val="6E973084"/>
    <w:rsid w:val="6EB15652"/>
    <w:rsid w:val="6ED72FC0"/>
    <w:rsid w:val="6F0513C5"/>
    <w:rsid w:val="6F3A6D1D"/>
    <w:rsid w:val="6F5B1156"/>
    <w:rsid w:val="6FCD6B2A"/>
    <w:rsid w:val="6FF3A5B1"/>
    <w:rsid w:val="703B59A9"/>
    <w:rsid w:val="706339E7"/>
    <w:rsid w:val="70767656"/>
    <w:rsid w:val="709557F4"/>
    <w:rsid w:val="712B6813"/>
    <w:rsid w:val="7142427A"/>
    <w:rsid w:val="71576566"/>
    <w:rsid w:val="715D01B7"/>
    <w:rsid w:val="71AA202D"/>
    <w:rsid w:val="71AF3C5B"/>
    <w:rsid w:val="71B21546"/>
    <w:rsid w:val="71B84E15"/>
    <w:rsid w:val="71D84F7F"/>
    <w:rsid w:val="71E14249"/>
    <w:rsid w:val="71FD64F5"/>
    <w:rsid w:val="720F27CE"/>
    <w:rsid w:val="724013FB"/>
    <w:rsid w:val="7274469E"/>
    <w:rsid w:val="727E4262"/>
    <w:rsid w:val="72C61185"/>
    <w:rsid w:val="72D7765F"/>
    <w:rsid w:val="731A019E"/>
    <w:rsid w:val="732618AF"/>
    <w:rsid w:val="737E5119"/>
    <w:rsid w:val="738629E1"/>
    <w:rsid w:val="73885AD6"/>
    <w:rsid w:val="73C067FA"/>
    <w:rsid w:val="73E57F96"/>
    <w:rsid w:val="73FB51BA"/>
    <w:rsid w:val="741A1225"/>
    <w:rsid w:val="744032CB"/>
    <w:rsid w:val="747E0B21"/>
    <w:rsid w:val="74882401"/>
    <w:rsid w:val="74D765C1"/>
    <w:rsid w:val="74F042D5"/>
    <w:rsid w:val="75093146"/>
    <w:rsid w:val="75227E49"/>
    <w:rsid w:val="75284191"/>
    <w:rsid w:val="753543BD"/>
    <w:rsid w:val="75485EE6"/>
    <w:rsid w:val="75F20B82"/>
    <w:rsid w:val="75FC2C5D"/>
    <w:rsid w:val="76550EEA"/>
    <w:rsid w:val="76CBFDB0"/>
    <w:rsid w:val="76EE719C"/>
    <w:rsid w:val="76F17B5A"/>
    <w:rsid w:val="772703C0"/>
    <w:rsid w:val="77720D6D"/>
    <w:rsid w:val="77778E19"/>
    <w:rsid w:val="778E4131"/>
    <w:rsid w:val="77975F1F"/>
    <w:rsid w:val="77E54CE5"/>
    <w:rsid w:val="77F02A9D"/>
    <w:rsid w:val="780468FE"/>
    <w:rsid w:val="784047FC"/>
    <w:rsid w:val="7840600F"/>
    <w:rsid w:val="78565051"/>
    <w:rsid w:val="785A0336"/>
    <w:rsid w:val="785E6F64"/>
    <w:rsid w:val="789807BB"/>
    <w:rsid w:val="78A25301"/>
    <w:rsid w:val="78BB1055"/>
    <w:rsid w:val="78CE3D41"/>
    <w:rsid w:val="78DA179D"/>
    <w:rsid w:val="791321CC"/>
    <w:rsid w:val="791E095E"/>
    <w:rsid w:val="79361C92"/>
    <w:rsid w:val="793A39B3"/>
    <w:rsid w:val="79904524"/>
    <w:rsid w:val="79A205D8"/>
    <w:rsid w:val="79AD6A2F"/>
    <w:rsid w:val="79BE5AF4"/>
    <w:rsid w:val="79C20ABA"/>
    <w:rsid w:val="79E013B7"/>
    <w:rsid w:val="79E34C96"/>
    <w:rsid w:val="79EF058A"/>
    <w:rsid w:val="79F20EED"/>
    <w:rsid w:val="7A0C69A8"/>
    <w:rsid w:val="7A461828"/>
    <w:rsid w:val="7A527489"/>
    <w:rsid w:val="7A5A11FD"/>
    <w:rsid w:val="7ADD23E2"/>
    <w:rsid w:val="7AEA338E"/>
    <w:rsid w:val="7AF707C7"/>
    <w:rsid w:val="7BD557C8"/>
    <w:rsid w:val="7BD8279C"/>
    <w:rsid w:val="7BEF4A17"/>
    <w:rsid w:val="7BF77EFB"/>
    <w:rsid w:val="7BF96E22"/>
    <w:rsid w:val="7C3151AE"/>
    <w:rsid w:val="7C3307A9"/>
    <w:rsid w:val="7C754728"/>
    <w:rsid w:val="7C792C1C"/>
    <w:rsid w:val="7C7A2D38"/>
    <w:rsid w:val="7CB161D1"/>
    <w:rsid w:val="7CFFB3C9"/>
    <w:rsid w:val="7D466B7E"/>
    <w:rsid w:val="7D5335F7"/>
    <w:rsid w:val="7D7808A9"/>
    <w:rsid w:val="7D902754"/>
    <w:rsid w:val="7D99109C"/>
    <w:rsid w:val="7DA665C7"/>
    <w:rsid w:val="7DB9EDE6"/>
    <w:rsid w:val="7DCA3F20"/>
    <w:rsid w:val="7DD01B69"/>
    <w:rsid w:val="7DFFAB05"/>
    <w:rsid w:val="7E452350"/>
    <w:rsid w:val="7E5B6638"/>
    <w:rsid w:val="7E682501"/>
    <w:rsid w:val="7E6E03E5"/>
    <w:rsid w:val="7E811698"/>
    <w:rsid w:val="7EA062EA"/>
    <w:rsid w:val="7EB7A02A"/>
    <w:rsid w:val="7F306B8E"/>
    <w:rsid w:val="7F3C6385"/>
    <w:rsid w:val="7F5F609B"/>
    <w:rsid w:val="7F765AB1"/>
    <w:rsid w:val="7F7C1F45"/>
    <w:rsid w:val="7F8F31D2"/>
    <w:rsid w:val="7FCF07FB"/>
    <w:rsid w:val="7FFEB1D6"/>
    <w:rsid w:val="8DB78DE2"/>
    <w:rsid w:val="8EF53CA1"/>
    <w:rsid w:val="95DF6B35"/>
    <w:rsid w:val="95FFDAA7"/>
    <w:rsid w:val="9FD67DC5"/>
    <w:rsid w:val="A9FF41BF"/>
    <w:rsid w:val="AD350B59"/>
    <w:rsid w:val="BDD4300E"/>
    <w:rsid w:val="BEB7A47E"/>
    <w:rsid w:val="BEBE9B00"/>
    <w:rsid w:val="BF7A0C6D"/>
    <w:rsid w:val="BFD62C3B"/>
    <w:rsid w:val="CAF721FC"/>
    <w:rsid w:val="CBF78380"/>
    <w:rsid w:val="CEBD8AAB"/>
    <w:rsid w:val="DBDD9120"/>
    <w:rsid w:val="EA5C2BD1"/>
    <w:rsid w:val="ED3FEACC"/>
    <w:rsid w:val="F4739A40"/>
    <w:rsid w:val="F749FA92"/>
    <w:rsid w:val="F77FB00A"/>
    <w:rsid w:val="F7EE4BC6"/>
    <w:rsid w:val="FBA4FB96"/>
    <w:rsid w:val="FCDED905"/>
    <w:rsid w:val="FDEF6025"/>
    <w:rsid w:val="FDFDFB4F"/>
    <w:rsid w:val="FF9A39C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line="360" w:lineRule="auto"/>
      <w:jc w:val="left"/>
      <w:outlineLvl w:val="0"/>
    </w:pPr>
    <w:rPr>
      <w:rFonts w:eastAsia="黑体"/>
      <w:kern w:val="44"/>
    </w:rPr>
  </w:style>
  <w:style w:type="paragraph" w:styleId="4">
    <w:name w:val="heading 2"/>
    <w:basedOn w:val="1"/>
    <w:next w:val="1"/>
    <w:link w:val="59"/>
    <w:qFormat/>
    <w:uiPriority w:val="99"/>
    <w:pPr>
      <w:keepNext/>
      <w:keepLines/>
      <w:numPr>
        <w:ilvl w:val="1"/>
        <w:numId w:val="1"/>
      </w:numPr>
      <w:spacing w:before="260" w:after="260" w:line="416" w:lineRule="auto"/>
      <w:outlineLvl w:val="1"/>
    </w:pPr>
    <w:rPr>
      <w:rFonts w:ascii="Cambria" w:hAnsi="Cambria"/>
      <w:b/>
      <w:bCs/>
      <w:sz w:val="32"/>
      <w:szCs w:val="32"/>
    </w:rPr>
  </w:style>
  <w:style w:type="paragraph" w:styleId="5">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6">
    <w:name w:val="heading 4"/>
    <w:basedOn w:val="1"/>
    <w:next w:val="1"/>
    <w:semiHidden/>
    <w:unhideWhenUsed/>
    <w:qFormat/>
    <w:uiPriority w:val="0"/>
    <w:pPr>
      <w:numPr>
        <w:ilvl w:val="3"/>
        <w:numId w:val="1"/>
      </w:numPr>
      <w:spacing w:beforeAutospacing="1" w:afterAutospacing="1"/>
      <w:jc w:val="left"/>
      <w:outlineLvl w:val="3"/>
    </w:pPr>
    <w:rPr>
      <w:rFonts w:hint="eastAsia" w:ascii="宋体" w:hAnsi="宋体"/>
      <w:b/>
      <w:bCs/>
      <w:kern w:val="0"/>
      <w:sz w:val="24"/>
    </w:rPr>
  </w:style>
  <w:style w:type="paragraph" w:styleId="7">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8">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10">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黑体" w:cs="宋体"/>
      <w:color w:val="000000"/>
      <w:sz w:val="21"/>
      <w:szCs w:val="24"/>
      <w:lang w:val="en-US" w:eastAsia="zh-CN" w:bidi="ar-SA"/>
    </w:rPr>
  </w:style>
  <w:style w:type="paragraph" w:styleId="12">
    <w:name w:val="toc 7"/>
    <w:basedOn w:val="1"/>
    <w:next w:val="1"/>
    <w:semiHidden/>
    <w:qFormat/>
    <w:uiPriority w:val="99"/>
    <w:pPr>
      <w:tabs>
        <w:tab w:val="right" w:leader="dot" w:pos="9241"/>
      </w:tabs>
      <w:ind w:firstLine="500" w:firstLineChars="500"/>
      <w:jc w:val="left"/>
    </w:pPr>
    <w:rPr>
      <w:rFonts w:ascii="宋体"/>
      <w:szCs w:val="21"/>
    </w:rPr>
  </w:style>
  <w:style w:type="paragraph" w:styleId="13">
    <w:name w:val="index 8"/>
    <w:basedOn w:val="1"/>
    <w:next w:val="1"/>
    <w:qFormat/>
    <w:uiPriority w:val="99"/>
    <w:pPr>
      <w:ind w:left="1680" w:hanging="210"/>
      <w:jc w:val="left"/>
    </w:pPr>
    <w:rPr>
      <w:rFonts w:ascii="Calibri" w:hAnsi="Calibri"/>
      <w:sz w:val="20"/>
      <w:szCs w:val="20"/>
    </w:rPr>
  </w:style>
  <w:style w:type="paragraph" w:styleId="14">
    <w:name w:val="caption"/>
    <w:basedOn w:val="1"/>
    <w:next w:val="1"/>
    <w:qFormat/>
    <w:uiPriority w:val="99"/>
    <w:pPr>
      <w:spacing w:before="152" w:after="160"/>
    </w:pPr>
    <w:rPr>
      <w:rFonts w:ascii="Arial" w:hAnsi="Arial" w:eastAsia="黑体" w:cs="Arial"/>
      <w:sz w:val="20"/>
      <w:szCs w:val="20"/>
    </w:rPr>
  </w:style>
  <w:style w:type="paragraph" w:styleId="15">
    <w:name w:val="index 5"/>
    <w:basedOn w:val="1"/>
    <w:next w:val="1"/>
    <w:qFormat/>
    <w:uiPriority w:val="99"/>
    <w:pPr>
      <w:ind w:left="1050" w:hanging="210"/>
      <w:jc w:val="left"/>
    </w:pPr>
    <w:rPr>
      <w:rFonts w:ascii="Calibri" w:hAnsi="Calibri"/>
      <w:sz w:val="20"/>
      <w:szCs w:val="20"/>
    </w:rPr>
  </w:style>
  <w:style w:type="paragraph" w:styleId="16">
    <w:name w:val="Document Map"/>
    <w:basedOn w:val="1"/>
    <w:link w:val="60"/>
    <w:semiHidden/>
    <w:qFormat/>
    <w:uiPriority w:val="99"/>
    <w:pPr>
      <w:shd w:val="clear" w:color="auto" w:fill="000080"/>
    </w:pPr>
  </w:style>
  <w:style w:type="paragraph" w:styleId="17">
    <w:name w:val="index 6"/>
    <w:basedOn w:val="1"/>
    <w:next w:val="1"/>
    <w:qFormat/>
    <w:uiPriority w:val="99"/>
    <w:pPr>
      <w:ind w:left="1260" w:hanging="210"/>
      <w:jc w:val="left"/>
    </w:pPr>
    <w:rPr>
      <w:rFonts w:ascii="Calibri" w:hAnsi="Calibri"/>
      <w:sz w:val="20"/>
      <w:szCs w:val="20"/>
    </w:rPr>
  </w:style>
  <w:style w:type="paragraph" w:styleId="18">
    <w:name w:val="index 4"/>
    <w:basedOn w:val="1"/>
    <w:next w:val="1"/>
    <w:qFormat/>
    <w:uiPriority w:val="99"/>
    <w:pPr>
      <w:ind w:left="840" w:hanging="210"/>
      <w:jc w:val="left"/>
    </w:pPr>
    <w:rPr>
      <w:rFonts w:ascii="Calibri" w:hAnsi="Calibri"/>
      <w:sz w:val="20"/>
      <w:szCs w:val="20"/>
    </w:rPr>
  </w:style>
  <w:style w:type="paragraph" w:styleId="19">
    <w:name w:val="toc 5"/>
    <w:basedOn w:val="1"/>
    <w:next w:val="1"/>
    <w:semiHidden/>
    <w:qFormat/>
    <w:uiPriority w:val="99"/>
    <w:pPr>
      <w:tabs>
        <w:tab w:val="right" w:leader="dot" w:pos="9241"/>
      </w:tabs>
      <w:ind w:firstLine="300" w:firstLineChars="300"/>
      <w:jc w:val="left"/>
    </w:pPr>
    <w:rPr>
      <w:rFonts w:ascii="宋体"/>
      <w:szCs w:val="21"/>
    </w:rPr>
  </w:style>
  <w:style w:type="paragraph" w:styleId="20">
    <w:name w:val="toc 3"/>
    <w:basedOn w:val="1"/>
    <w:next w:val="1"/>
    <w:semiHidden/>
    <w:qFormat/>
    <w:uiPriority w:val="99"/>
    <w:pPr>
      <w:tabs>
        <w:tab w:val="right" w:leader="dot" w:pos="9241"/>
      </w:tabs>
      <w:ind w:firstLine="100" w:firstLineChars="100"/>
      <w:jc w:val="left"/>
    </w:pPr>
    <w:rPr>
      <w:rFonts w:ascii="宋体"/>
      <w:szCs w:val="21"/>
    </w:rPr>
  </w:style>
  <w:style w:type="paragraph" w:styleId="21">
    <w:name w:val="toc 8"/>
    <w:basedOn w:val="1"/>
    <w:next w:val="1"/>
    <w:semiHidden/>
    <w:qFormat/>
    <w:uiPriority w:val="99"/>
    <w:pPr>
      <w:tabs>
        <w:tab w:val="right" w:leader="dot" w:pos="9241"/>
      </w:tabs>
      <w:ind w:firstLine="607" w:firstLineChars="600"/>
      <w:jc w:val="left"/>
    </w:pPr>
    <w:rPr>
      <w:rFonts w:ascii="宋体"/>
      <w:szCs w:val="21"/>
    </w:rPr>
  </w:style>
  <w:style w:type="paragraph" w:styleId="22">
    <w:name w:val="index 3"/>
    <w:basedOn w:val="1"/>
    <w:next w:val="1"/>
    <w:qFormat/>
    <w:uiPriority w:val="99"/>
    <w:pPr>
      <w:ind w:left="630" w:hanging="210"/>
      <w:jc w:val="left"/>
    </w:pPr>
    <w:rPr>
      <w:rFonts w:ascii="Calibri" w:hAnsi="Calibri"/>
      <w:sz w:val="20"/>
      <w:szCs w:val="20"/>
    </w:rPr>
  </w:style>
  <w:style w:type="paragraph" w:styleId="23">
    <w:name w:val="Date"/>
    <w:basedOn w:val="1"/>
    <w:next w:val="1"/>
    <w:link w:val="61"/>
    <w:qFormat/>
    <w:uiPriority w:val="99"/>
    <w:pPr>
      <w:ind w:left="100" w:leftChars="2500"/>
    </w:pPr>
  </w:style>
  <w:style w:type="paragraph" w:styleId="24">
    <w:name w:val="endnote text"/>
    <w:basedOn w:val="1"/>
    <w:link w:val="62"/>
    <w:semiHidden/>
    <w:qFormat/>
    <w:uiPriority w:val="99"/>
    <w:pPr>
      <w:snapToGrid w:val="0"/>
      <w:jc w:val="left"/>
    </w:pPr>
  </w:style>
  <w:style w:type="paragraph" w:styleId="25">
    <w:name w:val="Balloon Text"/>
    <w:basedOn w:val="1"/>
    <w:link w:val="175"/>
    <w:semiHidden/>
    <w:unhideWhenUsed/>
    <w:qFormat/>
    <w:locked/>
    <w:uiPriority w:val="99"/>
    <w:rPr>
      <w:sz w:val="18"/>
      <w:szCs w:val="18"/>
    </w:rPr>
  </w:style>
  <w:style w:type="paragraph" w:styleId="26">
    <w:name w:val="footer"/>
    <w:basedOn w:val="1"/>
    <w:link w:val="63"/>
    <w:qFormat/>
    <w:uiPriority w:val="99"/>
    <w:pPr>
      <w:snapToGrid w:val="0"/>
      <w:ind w:right="210" w:rightChars="100"/>
      <w:jc w:val="right"/>
    </w:pPr>
    <w:rPr>
      <w:sz w:val="18"/>
      <w:szCs w:val="18"/>
    </w:rPr>
  </w:style>
  <w:style w:type="paragraph" w:styleId="27">
    <w:name w:val="header"/>
    <w:basedOn w:val="1"/>
    <w:link w:val="64"/>
    <w:qFormat/>
    <w:uiPriority w:val="99"/>
    <w:pPr>
      <w:snapToGrid w:val="0"/>
      <w:jc w:val="left"/>
    </w:pPr>
    <w:rPr>
      <w:sz w:val="18"/>
      <w:szCs w:val="18"/>
    </w:rPr>
  </w:style>
  <w:style w:type="paragraph" w:styleId="28">
    <w:name w:val="toc 1"/>
    <w:basedOn w:val="1"/>
    <w:next w:val="1"/>
    <w:semiHidden/>
    <w:qFormat/>
    <w:uiPriority w:val="99"/>
    <w:pPr>
      <w:tabs>
        <w:tab w:val="right" w:leader="dot" w:pos="9242"/>
      </w:tabs>
      <w:spacing w:beforeLines="25" w:afterLines="25"/>
      <w:jc w:val="left"/>
    </w:pPr>
    <w:rPr>
      <w:rFonts w:ascii="宋体"/>
      <w:szCs w:val="21"/>
    </w:rPr>
  </w:style>
  <w:style w:type="paragraph" w:styleId="29">
    <w:name w:val="toc 4"/>
    <w:basedOn w:val="1"/>
    <w:next w:val="1"/>
    <w:semiHidden/>
    <w:qFormat/>
    <w:uiPriority w:val="99"/>
    <w:pPr>
      <w:tabs>
        <w:tab w:val="right" w:leader="dot" w:pos="9241"/>
      </w:tabs>
      <w:ind w:firstLine="200" w:firstLineChars="200"/>
      <w:jc w:val="left"/>
    </w:pPr>
    <w:rPr>
      <w:rFonts w:ascii="宋体"/>
      <w:szCs w:val="21"/>
    </w:rPr>
  </w:style>
  <w:style w:type="paragraph" w:styleId="30">
    <w:name w:val="index heading"/>
    <w:basedOn w:val="1"/>
    <w:next w:val="31"/>
    <w:qFormat/>
    <w:uiPriority w:val="99"/>
    <w:pPr>
      <w:spacing w:before="120" w:after="120"/>
      <w:jc w:val="center"/>
    </w:pPr>
    <w:rPr>
      <w:rFonts w:ascii="Calibri" w:hAnsi="Calibri"/>
      <w:b/>
      <w:bCs/>
      <w:iCs/>
      <w:szCs w:val="20"/>
    </w:rPr>
  </w:style>
  <w:style w:type="paragraph" w:styleId="31">
    <w:name w:val="index 1"/>
    <w:basedOn w:val="1"/>
    <w:next w:val="32"/>
    <w:qFormat/>
    <w:uiPriority w:val="99"/>
    <w:pPr>
      <w:tabs>
        <w:tab w:val="right" w:leader="dot" w:pos="9299"/>
      </w:tabs>
      <w:jc w:val="left"/>
    </w:pPr>
    <w:rPr>
      <w:rFonts w:ascii="宋体"/>
      <w:szCs w:val="21"/>
    </w:rPr>
  </w:style>
  <w:style w:type="paragraph" w:customStyle="1" w:styleId="32">
    <w:name w:val="段"/>
    <w:link w:val="66"/>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33">
    <w:name w:val="footnote text"/>
    <w:basedOn w:val="1"/>
    <w:link w:val="65"/>
    <w:qFormat/>
    <w:uiPriority w:val="99"/>
    <w:pPr>
      <w:numPr>
        <w:ilvl w:val="0"/>
        <w:numId w:val="2"/>
      </w:numPr>
      <w:snapToGrid w:val="0"/>
      <w:jc w:val="left"/>
    </w:pPr>
    <w:rPr>
      <w:rFonts w:ascii="宋体"/>
      <w:sz w:val="18"/>
      <w:szCs w:val="18"/>
    </w:rPr>
  </w:style>
  <w:style w:type="paragraph" w:styleId="34">
    <w:name w:val="toc 6"/>
    <w:basedOn w:val="1"/>
    <w:next w:val="1"/>
    <w:semiHidden/>
    <w:qFormat/>
    <w:uiPriority w:val="99"/>
    <w:pPr>
      <w:tabs>
        <w:tab w:val="right" w:leader="dot" w:pos="9241"/>
      </w:tabs>
      <w:ind w:firstLine="400" w:firstLineChars="400"/>
      <w:jc w:val="left"/>
    </w:pPr>
    <w:rPr>
      <w:rFonts w:ascii="宋体"/>
      <w:szCs w:val="21"/>
    </w:rPr>
  </w:style>
  <w:style w:type="paragraph" w:styleId="35">
    <w:name w:val="index 7"/>
    <w:basedOn w:val="1"/>
    <w:next w:val="1"/>
    <w:qFormat/>
    <w:uiPriority w:val="99"/>
    <w:pPr>
      <w:ind w:left="1470" w:hanging="210"/>
      <w:jc w:val="left"/>
    </w:pPr>
    <w:rPr>
      <w:rFonts w:ascii="Calibri" w:hAnsi="Calibri"/>
      <w:sz w:val="20"/>
      <w:szCs w:val="20"/>
    </w:rPr>
  </w:style>
  <w:style w:type="paragraph" w:styleId="36">
    <w:name w:val="index 9"/>
    <w:basedOn w:val="1"/>
    <w:next w:val="1"/>
    <w:qFormat/>
    <w:uiPriority w:val="99"/>
    <w:pPr>
      <w:ind w:left="1890" w:hanging="210"/>
      <w:jc w:val="left"/>
    </w:pPr>
    <w:rPr>
      <w:rFonts w:ascii="Calibri" w:hAnsi="Calibri"/>
      <w:sz w:val="20"/>
      <w:szCs w:val="20"/>
    </w:rPr>
  </w:style>
  <w:style w:type="paragraph" w:styleId="37">
    <w:name w:val="toc 2"/>
    <w:basedOn w:val="1"/>
    <w:next w:val="1"/>
    <w:semiHidden/>
    <w:qFormat/>
    <w:uiPriority w:val="99"/>
    <w:pPr>
      <w:tabs>
        <w:tab w:val="right" w:leader="dot" w:pos="9242"/>
      </w:tabs>
    </w:pPr>
    <w:rPr>
      <w:rFonts w:ascii="宋体"/>
      <w:szCs w:val="21"/>
    </w:rPr>
  </w:style>
  <w:style w:type="paragraph" w:styleId="38">
    <w:name w:val="toc 9"/>
    <w:basedOn w:val="1"/>
    <w:next w:val="1"/>
    <w:semiHidden/>
    <w:qFormat/>
    <w:uiPriority w:val="99"/>
    <w:pPr>
      <w:ind w:left="1470"/>
      <w:jc w:val="left"/>
    </w:pPr>
    <w:rPr>
      <w:sz w:val="20"/>
      <w:szCs w:val="20"/>
    </w:rPr>
  </w:style>
  <w:style w:type="paragraph" w:styleId="39">
    <w:name w:val="Normal (Web)"/>
    <w:basedOn w:val="1"/>
    <w:qFormat/>
    <w:uiPriority w:val="99"/>
    <w:pPr>
      <w:spacing w:before="100" w:beforeAutospacing="1" w:after="100" w:afterAutospacing="1"/>
      <w:jc w:val="left"/>
    </w:pPr>
    <w:rPr>
      <w:kern w:val="0"/>
      <w:sz w:val="24"/>
    </w:rPr>
  </w:style>
  <w:style w:type="paragraph" w:styleId="40">
    <w:name w:val="index 2"/>
    <w:basedOn w:val="1"/>
    <w:next w:val="1"/>
    <w:qFormat/>
    <w:uiPriority w:val="99"/>
    <w:pPr>
      <w:ind w:left="420" w:hanging="210"/>
      <w:jc w:val="left"/>
    </w:pPr>
    <w:rPr>
      <w:rFonts w:ascii="Calibri" w:hAnsi="Calibri"/>
      <w:sz w:val="20"/>
      <w:szCs w:val="20"/>
    </w:rPr>
  </w:style>
  <w:style w:type="table" w:styleId="42">
    <w:name w:val="Table Grid"/>
    <w:basedOn w:val="41"/>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4">
    <w:name w:val="Strong"/>
    <w:qFormat/>
    <w:locked/>
    <w:uiPriority w:val="99"/>
    <w:rPr>
      <w:rFonts w:cs="Times New Roman"/>
      <w:b/>
    </w:rPr>
  </w:style>
  <w:style w:type="character" w:styleId="45">
    <w:name w:val="endnote reference"/>
    <w:semiHidden/>
    <w:qFormat/>
    <w:uiPriority w:val="99"/>
    <w:rPr>
      <w:rFonts w:cs="Times New Roman"/>
      <w:vertAlign w:val="superscript"/>
    </w:rPr>
  </w:style>
  <w:style w:type="character" w:styleId="46">
    <w:name w:val="page number"/>
    <w:qFormat/>
    <w:uiPriority w:val="99"/>
    <w:rPr>
      <w:rFonts w:ascii="Times New Roman" w:hAnsi="Times New Roman" w:eastAsia="宋体" w:cs="Times New Roman"/>
      <w:sz w:val="18"/>
    </w:rPr>
  </w:style>
  <w:style w:type="character" w:styleId="47">
    <w:name w:val="FollowedHyperlink"/>
    <w:qFormat/>
    <w:uiPriority w:val="99"/>
    <w:rPr>
      <w:rFonts w:cs="Times New Roman"/>
      <w:color w:val="800080"/>
      <w:u w:val="single"/>
    </w:rPr>
  </w:style>
  <w:style w:type="character" w:styleId="48">
    <w:name w:val="Emphasis"/>
    <w:qFormat/>
    <w:locked/>
    <w:uiPriority w:val="99"/>
    <w:rPr>
      <w:rFonts w:cs="Times New Roman"/>
    </w:rPr>
  </w:style>
  <w:style w:type="character" w:styleId="49">
    <w:name w:val="HTML Definition"/>
    <w:semiHidden/>
    <w:qFormat/>
    <w:locked/>
    <w:uiPriority w:val="99"/>
    <w:rPr>
      <w:rFonts w:cs="Times New Roman"/>
    </w:rPr>
  </w:style>
  <w:style w:type="character" w:styleId="50">
    <w:name w:val="HTML Acronym"/>
    <w:qFormat/>
    <w:uiPriority w:val="99"/>
    <w:rPr>
      <w:rFonts w:cs="Times New Roman"/>
    </w:rPr>
  </w:style>
  <w:style w:type="character" w:styleId="51">
    <w:name w:val="HTML Variable"/>
    <w:semiHidden/>
    <w:qFormat/>
    <w:locked/>
    <w:uiPriority w:val="99"/>
    <w:rPr>
      <w:rFonts w:cs="Times New Roman"/>
    </w:rPr>
  </w:style>
  <w:style w:type="character" w:styleId="52">
    <w:name w:val="Hyperlink"/>
    <w:qFormat/>
    <w:uiPriority w:val="99"/>
    <w:rPr>
      <w:rFonts w:cs="Times New Roman"/>
      <w:color w:val="0000FF"/>
      <w:spacing w:val="0"/>
      <w:w w:val="100"/>
      <w:sz w:val="21"/>
      <w:szCs w:val="21"/>
      <w:u w:val="single"/>
    </w:rPr>
  </w:style>
  <w:style w:type="character" w:styleId="53">
    <w:name w:val="HTML Code"/>
    <w:semiHidden/>
    <w:qFormat/>
    <w:locked/>
    <w:uiPriority w:val="99"/>
    <w:rPr>
      <w:rFonts w:ascii="Consolas" w:hAnsi="Consolas" w:cs="Consolas"/>
      <w:color w:val="C7254E"/>
      <w:sz w:val="21"/>
      <w:szCs w:val="21"/>
      <w:shd w:val="clear" w:color="auto" w:fill="F9F2F4"/>
    </w:rPr>
  </w:style>
  <w:style w:type="character" w:styleId="54">
    <w:name w:val="annotation reference"/>
    <w:semiHidden/>
    <w:qFormat/>
    <w:uiPriority w:val="99"/>
    <w:rPr>
      <w:rFonts w:cs="Times New Roman"/>
      <w:sz w:val="21"/>
      <w:szCs w:val="21"/>
    </w:rPr>
  </w:style>
  <w:style w:type="character" w:styleId="55">
    <w:name w:val="HTML Cite"/>
    <w:semiHidden/>
    <w:qFormat/>
    <w:locked/>
    <w:uiPriority w:val="99"/>
    <w:rPr>
      <w:rFonts w:cs="Times New Roman"/>
    </w:rPr>
  </w:style>
  <w:style w:type="character" w:styleId="56">
    <w:name w:val="footnote reference"/>
    <w:semiHidden/>
    <w:qFormat/>
    <w:uiPriority w:val="99"/>
    <w:rPr>
      <w:rFonts w:cs="Times New Roman"/>
      <w:vertAlign w:val="superscript"/>
    </w:rPr>
  </w:style>
  <w:style w:type="character" w:styleId="57">
    <w:name w:val="HTML Keyboard"/>
    <w:semiHidden/>
    <w:qFormat/>
    <w:locked/>
    <w:uiPriority w:val="99"/>
    <w:rPr>
      <w:rFonts w:ascii="Consolas" w:hAnsi="Consolas" w:cs="Consolas"/>
      <w:color w:val="FFFFFF"/>
      <w:sz w:val="21"/>
      <w:szCs w:val="21"/>
      <w:shd w:val="clear" w:color="auto" w:fill="333333"/>
    </w:rPr>
  </w:style>
  <w:style w:type="character" w:styleId="58">
    <w:name w:val="HTML Sample"/>
    <w:semiHidden/>
    <w:qFormat/>
    <w:locked/>
    <w:uiPriority w:val="99"/>
    <w:rPr>
      <w:rFonts w:ascii="Consolas" w:hAnsi="Consolas" w:cs="Consolas"/>
      <w:sz w:val="21"/>
      <w:szCs w:val="21"/>
    </w:rPr>
  </w:style>
  <w:style w:type="character" w:customStyle="1" w:styleId="59">
    <w:name w:val="标题 2 字符"/>
    <w:link w:val="4"/>
    <w:qFormat/>
    <w:locked/>
    <w:uiPriority w:val="99"/>
    <w:rPr>
      <w:rFonts w:ascii="Cambria" w:hAnsi="Cambria" w:eastAsia="宋体" w:cs="Times New Roman"/>
      <w:b/>
      <w:bCs/>
      <w:kern w:val="2"/>
      <w:sz w:val="32"/>
      <w:szCs w:val="32"/>
    </w:rPr>
  </w:style>
  <w:style w:type="character" w:customStyle="1" w:styleId="60">
    <w:name w:val="文档结构图 字符"/>
    <w:link w:val="16"/>
    <w:semiHidden/>
    <w:qFormat/>
    <w:locked/>
    <w:uiPriority w:val="99"/>
    <w:rPr>
      <w:rFonts w:cs="Times New Roman"/>
      <w:sz w:val="2"/>
    </w:rPr>
  </w:style>
  <w:style w:type="character" w:customStyle="1" w:styleId="61">
    <w:name w:val="日期 字符"/>
    <w:link w:val="23"/>
    <w:semiHidden/>
    <w:qFormat/>
    <w:locked/>
    <w:uiPriority w:val="99"/>
    <w:rPr>
      <w:rFonts w:cs="Times New Roman"/>
      <w:kern w:val="2"/>
      <w:sz w:val="24"/>
      <w:szCs w:val="24"/>
    </w:rPr>
  </w:style>
  <w:style w:type="character" w:customStyle="1" w:styleId="62">
    <w:name w:val="尾注文本 字符"/>
    <w:link w:val="24"/>
    <w:semiHidden/>
    <w:qFormat/>
    <w:locked/>
    <w:uiPriority w:val="99"/>
    <w:rPr>
      <w:rFonts w:cs="Times New Roman"/>
      <w:sz w:val="24"/>
      <w:szCs w:val="24"/>
    </w:rPr>
  </w:style>
  <w:style w:type="character" w:customStyle="1" w:styleId="63">
    <w:name w:val="页脚 字符"/>
    <w:link w:val="26"/>
    <w:semiHidden/>
    <w:qFormat/>
    <w:locked/>
    <w:uiPriority w:val="99"/>
    <w:rPr>
      <w:rFonts w:cs="Times New Roman"/>
      <w:sz w:val="18"/>
      <w:szCs w:val="18"/>
    </w:rPr>
  </w:style>
  <w:style w:type="character" w:customStyle="1" w:styleId="64">
    <w:name w:val="页眉 字符"/>
    <w:link w:val="27"/>
    <w:semiHidden/>
    <w:qFormat/>
    <w:locked/>
    <w:uiPriority w:val="99"/>
    <w:rPr>
      <w:rFonts w:cs="Times New Roman"/>
      <w:sz w:val="18"/>
      <w:szCs w:val="18"/>
    </w:rPr>
  </w:style>
  <w:style w:type="character" w:customStyle="1" w:styleId="65">
    <w:name w:val="脚注文本 字符"/>
    <w:link w:val="33"/>
    <w:semiHidden/>
    <w:qFormat/>
    <w:locked/>
    <w:uiPriority w:val="99"/>
    <w:rPr>
      <w:rFonts w:cs="Times New Roman"/>
      <w:sz w:val="18"/>
      <w:szCs w:val="18"/>
    </w:rPr>
  </w:style>
  <w:style w:type="character" w:customStyle="1" w:styleId="66">
    <w:name w:val="段 Char"/>
    <w:link w:val="32"/>
    <w:qFormat/>
    <w:locked/>
    <w:uiPriority w:val="0"/>
    <w:rPr>
      <w:rFonts w:ascii="宋体"/>
      <w:sz w:val="21"/>
      <w:lang w:val="en-US" w:eastAsia="zh-CN" w:bidi="ar-SA"/>
    </w:rPr>
  </w:style>
  <w:style w:type="paragraph" w:customStyle="1" w:styleId="67">
    <w:name w:val="一级条标题"/>
    <w:next w:val="32"/>
    <w:link w:val="164"/>
    <w:qFormat/>
    <w:uiPriority w:val="0"/>
    <w:pPr>
      <w:numPr>
        <w:ilvl w:val="1"/>
        <w:numId w:val="3"/>
      </w:numPr>
      <w:spacing w:beforeLines="50" w:afterLines="50"/>
      <w:outlineLvl w:val="2"/>
    </w:pPr>
    <w:rPr>
      <w:rFonts w:ascii="黑体" w:hAnsi="Times New Roman" w:eastAsia="黑体" w:cs="Times New Roman"/>
      <w:sz w:val="21"/>
      <w:szCs w:val="21"/>
      <w:lang w:val="en-US" w:eastAsia="zh-CN" w:bidi="ar-SA"/>
    </w:rPr>
  </w:style>
  <w:style w:type="paragraph" w:customStyle="1" w:styleId="68">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9">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0">
    <w:name w:val="章标题"/>
    <w:next w:val="32"/>
    <w:link w:val="179"/>
    <w:qFormat/>
    <w:uiPriority w:val="0"/>
    <w:pPr>
      <w:numPr>
        <w:ilvl w:val="0"/>
        <w:numId w:val="3"/>
      </w:numPr>
      <w:spacing w:beforeLines="100" w:afterLines="100"/>
      <w:jc w:val="both"/>
      <w:outlineLvl w:val="1"/>
    </w:pPr>
    <w:rPr>
      <w:rFonts w:ascii="黑体" w:hAnsi="Times New Roman" w:eastAsia="黑体" w:cs="Times New Roman"/>
      <w:sz w:val="21"/>
      <w:lang w:val="en-US" w:eastAsia="zh-CN" w:bidi="ar-SA"/>
    </w:rPr>
  </w:style>
  <w:style w:type="paragraph" w:customStyle="1" w:styleId="71">
    <w:name w:val="二级条标题"/>
    <w:basedOn w:val="67"/>
    <w:next w:val="32"/>
    <w:link w:val="177"/>
    <w:qFormat/>
    <w:uiPriority w:val="99"/>
    <w:pPr>
      <w:numPr>
        <w:ilvl w:val="2"/>
      </w:numPr>
      <w:spacing w:before="50" w:after="50"/>
      <w:outlineLvl w:val="3"/>
    </w:pPr>
  </w:style>
  <w:style w:type="paragraph" w:customStyle="1" w:styleId="72">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3">
    <w:name w:val="列项——（一级）"/>
    <w:qFormat/>
    <w:uiPriority w:val="99"/>
    <w:pPr>
      <w:widowControl w:val="0"/>
      <w:numPr>
        <w:ilvl w:val="0"/>
        <w:numId w:val="4"/>
      </w:numPr>
      <w:ind w:left="833"/>
      <w:jc w:val="both"/>
    </w:pPr>
    <w:rPr>
      <w:rFonts w:ascii="宋体" w:hAnsi="Times New Roman" w:eastAsia="宋体" w:cs="Times New Roman"/>
      <w:sz w:val="21"/>
      <w:lang w:val="en-US" w:eastAsia="zh-CN" w:bidi="ar-SA"/>
    </w:rPr>
  </w:style>
  <w:style w:type="paragraph" w:customStyle="1" w:styleId="74">
    <w:name w:val="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5">
    <w:name w:val="目次、标准名称标题"/>
    <w:basedOn w:val="1"/>
    <w:next w:val="3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6">
    <w:name w:val="三级条标题"/>
    <w:basedOn w:val="71"/>
    <w:next w:val="32"/>
    <w:qFormat/>
    <w:uiPriority w:val="99"/>
    <w:pPr>
      <w:numPr>
        <w:ilvl w:val="3"/>
      </w:numPr>
      <w:outlineLvl w:val="4"/>
    </w:pPr>
  </w:style>
  <w:style w:type="paragraph" w:customStyle="1" w:styleId="77">
    <w:name w:val="示例"/>
    <w:next w:val="78"/>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8">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9">
    <w:name w:val="数字编号列项（二级）"/>
    <w:qFormat/>
    <w:uiPriority w:val="99"/>
    <w:pPr>
      <w:numPr>
        <w:ilvl w:val="1"/>
        <w:numId w:val="5"/>
      </w:numPr>
      <w:tabs>
        <w:tab w:val="left" w:pos="840"/>
      </w:tabs>
      <w:jc w:val="both"/>
    </w:pPr>
    <w:rPr>
      <w:rFonts w:ascii="宋体" w:hAnsi="Times New Roman" w:eastAsia="宋体" w:cs="Times New Roman"/>
      <w:sz w:val="21"/>
      <w:lang w:val="en-US" w:eastAsia="zh-CN" w:bidi="ar-SA"/>
    </w:rPr>
  </w:style>
  <w:style w:type="paragraph" w:customStyle="1" w:styleId="80">
    <w:name w:val="四级条标题"/>
    <w:basedOn w:val="76"/>
    <w:next w:val="32"/>
    <w:qFormat/>
    <w:uiPriority w:val="99"/>
    <w:pPr>
      <w:numPr>
        <w:ilvl w:val="4"/>
      </w:numPr>
      <w:outlineLvl w:val="5"/>
    </w:pPr>
  </w:style>
  <w:style w:type="paragraph" w:customStyle="1" w:styleId="81">
    <w:name w:val="五级条标题"/>
    <w:basedOn w:val="80"/>
    <w:next w:val="32"/>
    <w:qFormat/>
    <w:uiPriority w:val="99"/>
    <w:pPr>
      <w:numPr>
        <w:ilvl w:val="5"/>
      </w:numPr>
      <w:outlineLvl w:val="6"/>
    </w:pPr>
  </w:style>
  <w:style w:type="paragraph" w:customStyle="1" w:styleId="82">
    <w:name w:val="注："/>
    <w:next w:val="32"/>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3">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84">
    <w:name w:val="字母编号列项（一级）"/>
    <w:qFormat/>
    <w:uiPriority w:val="99"/>
    <w:pPr>
      <w:numPr>
        <w:ilvl w:val="0"/>
        <w:numId w:val="5"/>
      </w:numPr>
      <w:jc w:val="both"/>
    </w:pPr>
    <w:rPr>
      <w:rFonts w:ascii="宋体" w:hAnsi="Times New Roman" w:eastAsia="宋体" w:cs="Times New Roman"/>
      <w:sz w:val="21"/>
      <w:lang w:val="en-US" w:eastAsia="zh-CN" w:bidi="ar-SA"/>
    </w:rPr>
  </w:style>
  <w:style w:type="paragraph" w:customStyle="1" w:styleId="85">
    <w:name w:val="列项◆（三级）"/>
    <w:basedOn w:val="1"/>
    <w:qFormat/>
    <w:uiPriority w:val="99"/>
    <w:pPr>
      <w:numPr>
        <w:ilvl w:val="2"/>
        <w:numId w:val="4"/>
      </w:numPr>
    </w:pPr>
    <w:rPr>
      <w:rFonts w:ascii="宋体"/>
      <w:szCs w:val="21"/>
    </w:rPr>
  </w:style>
  <w:style w:type="paragraph" w:customStyle="1" w:styleId="86">
    <w:name w:val="编号列项（三级）"/>
    <w:link w:val="178"/>
    <w:qFormat/>
    <w:uiPriority w:val="99"/>
    <w:pPr>
      <w:numPr>
        <w:ilvl w:val="2"/>
        <w:numId w:val="5"/>
      </w:numPr>
      <w:tabs>
        <w:tab w:val="left" w:pos="840"/>
      </w:tabs>
    </w:pPr>
    <w:rPr>
      <w:rFonts w:ascii="宋体" w:hAnsi="Times New Roman" w:eastAsia="宋体" w:cs="Times New Roman"/>
      <w:sz w:val="21"/>
      <w:lang w:val="en-US" w:eastAsia="zh-CN" w:bidi="ar-SA"/>
    </w:rPr>
  </w:style>
  <w:style w:type="paragraph" w:customStyle="1" w:styleId="87">
    <w:name w:val="示例×："/>
    <w:basedOn w:val="70"/>
    <w:qFormat/>
    <w:uiPriority w:val="99"/>
    <w:pPr>
      <w:numPr>
        <w:numId w:val="0"/>
      </w:numPr>
      <w:spacing w:beforeLines="0" w:afterLines="0"/>
      <w:ind w:firstLine="363"/>
      <w:outlineLvl w:val="9"/>
    </w:pPr>
    <w:rPr>
      <w:rFonts w:ascii="宋体" w:eastAsia="宋体"/>
      <w:sz w:val="18"/>
      <w:szCs w:val="18"/>
    </w:rPr>
  </w:style>
  <w:style w:type="paragraph" w:customStyle="1" w:styleId="88">
    <w:name w:val="二级无"/>
    <w:basedOn w:val="71"/>
    <w:qFormat/>
    <w:uiPriority w:val="99"/>
    <w:pPr>
      <w:spacing w:beforeLines="0" w:afterLines="0"/>
    </w:pPr>
    <w:rPr>
      <w:rFonts w:ascii="宋体" w:eastAsia="宋体"/>
    </w:rPr>
  </w:style>
  <w:style w:type="paragraph" w:customStyle="1" w:styleId="89">
    <w:name w:val="注：（正文）"/>
    <w:basedOn w:val="82"/>
    <w:next w:val="32"/>
    <w:qFormat/>
    <w:uiPriority w:val="99"/>
  </w:style>
  <w:style w:type="paragraph" w:customStyle="1" w:styleId="90">
    <w:name w:val="注×：（正文）"/>
    <w:qFormat/>
    <w:uiPriority w:val="99"/>
    <w:pPr>
      <w:numPr>
        <w:ilvl w:val="0"/>
        <w:numId w:val="6"/>
      </w:numPr>
      <w:jc w:val="both"/>
    </w:pPr>
    <w:rPr>
      <w:rFonts w:ascii="宋体" w:hAnsi="Times New Roman" w:eastAsia="宋体" w:cs="Times New Roman"/>
      <w:sz w:val="18"/>
      <w:szCs w:val="18"/>
      <w:lang w:val="en-US" w:eastAsia="zh-CN" w:bidi="ar-SA"/>
    </w:rPr>
  </w:style>
  <w:style w:type="paragraph" w:customStyle="1" w:styleId="91">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92">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93">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94">
    <w:name w:val="标准书眉_偶数页"/>
    <w:basedOn w:val="69"/>
    <w:next w:val="1"/>
    <w:qFormat/>
    <w:uiPriority w:val="99"/>
    <w:pPr>
      <w:jc w:val="left"/>
    </w:pPr>
  </w:style>
  <w:style w:type="paragraph" w:customStyle="1" w:styleId="95">
    <w:name w:val="标准书眉一"/>
    <w:qFormat/>
    <w:uiPriority w:val="99"/>
    <w:pPr>
      <w:jc w:val="both"/>
    </w:pPr>
    <w:rPr>
      <w:rFonts w:ascii="Times New Roman" w:hAnsi="Times New Roman" w:eastAsia="宋体" w:cs="Times New Roman"/>
      <w:lang w:val="en-US" w:eastAsia="zh-CN" w:bidi="ar-SA"/>
    </w:rPr>
  </w:style>
  <w:style w:type="paragraph" w:customStyle="1" w:styleId="96">
    <w:name w:val="参考文献"/>
    <w:basedOn w:val="1"/>
    <w:next w:val="32"/>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7">
    <w:name w:val="参考文献、索引标题"/>
    <w:basedOn w:val="1"/>
    <w:next w:val="32"/>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8">
    <w:name w:val="发布"/>
    <w:qFormat/>
    <w:uiPriority w:val="99"/>
    <w:rPr>
      <w:rFonts w:ascii="黑体" w:eastAsia="黑体" w:cs="Times New Roman"/>
      <w:spacing w:val="85"/>
      <w:w w:val="100"/>
      <w:position w:val="3"/>
      <w:sz w:val="28"/>
      <w:szCs w:val="28"/>
    </w:rPr>
  </w:style>
  <w:style w:type="paragraph" w:customStyle="1" w:styleId="99">
    <w:name w:val="发布部门"/>
    <w:next w:val="3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00">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01">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02">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3">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4">
    <w:name w:val="封面标准英文名称"/>
    <w:basedOn w:val="103"/>
    <w:qFormat/>
    <w:uiPriority w:val="99"/>
    <w:pPr>
      <w:spacing w:before="370" w:line="400" w:lineRule="exact"/>
    </w:pPr>
    <w:rPr>
      <w:rFonts w:ascii="Times New Roman"/>
      <w:sz w:val="28"/>
      <w:szCs w:val="28"/>
    </w:rPr>
  </w:style>
  <w:style w:type="paragraph" w:customStyle="1" w:styleId="105">
    <w:name w:val="封面一致性程度标识"/>
    <w:basedOn w:val="104"/>
    <w:qFormat/>
    <w:uiPriority w:val="99"/>
    <w:pPr>
      <w:spacing w:before="440"/>
    </w:pPr>
    <w:rPr>
      <w:rFonts w:ascii="宋体" w:eastAsia="宋体"/>
    </w:rPr>
  </w:style>
  <w:style w:type="paragraph" w:customStyle="1" w:styleId="106">
    <w:name w:val="封面标准文稿类别"/>
    <w:basedOn w:val="105"/>
    <w:qFormat/>
    <w:uiPriority w:val="99"/>
    <w:pPr>
      <w:spacing w:after="160" w:line="240" w:lineRule="auto"/>
    </w:pPr>
    <w:rPr>
      <w:sz w:val="24"/>
    </w:rPr>
  </w:style>
  <w:style w:type="paragraph" w:customStyle="1" w:styleId="107">
    <w:name w:val="封面标准文稿编辑信息"/>
    <w:basedOn w:val="106"/>
    <w:qFormat/>
    <w:uiPriority w:val="99"/>
    <w:pPr>
      <w:spacing w:before="180" w:line="180" w:lineRule="exact"/>
    </w:pPr>
    <w:rPr>
      <w:sz w:val="21"/>
    </w:rPr>
  </w:style>
  <w:style w:type="paragraph" w:customStyle="1" w:styleId="108">
    <w:name w:val="封面正文"/>
    <w:qFormat/>
    <w:uiPriority w:val="99"/>
    <w:pPr>
      <w:jc w:val="both"/>
    </w:pPr>
    <w:rPr>
      <w:rFonts w:ascii="Times New Roman" w:hAnsi="Times New Roman" w:eastAsia="宋体" w:cs="Times New Roman"/>
      <w:lang w:val="en-US" w:eastAsia="zh-CN" w:bidi="ar-SA"/>
    </w:rPr>
  </w:style>
  <w:style w:type="paragraph" w:customStyle="1" w:styleId="109">
    <w:name w:val="附录标识"/>
    <w:basedOn w:val="1"/>
    <w:next w:val="32"/>
    <w:qFormat/>
    <w:uiPriority w:val="99"/>
    <w:pPr>
      <w:keepNext/>
      <w:widowControl/>
      <w:numPr>
        <w:ilvl w:val="0"/>
        <w:numId w:val="7"/>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10">
    <w:name w:val="附录标题"/>
    <w:basedOn w:val="32"/>
    <w:next w:val="32"/>
    <w:qFormat/>
    <w:uiPriority w:val="99"/>
    <w:pPr>
      <w:ind w:firstLine="0" w:firstLineChars="0"/>
      <w:jc w:val="center"/>
    </w:pPr>
    <w:rPr>
      <w:rFonts w:ascii="黑体" w:eastAsia="黑体"/>
    </w:rPr>
  </w:style>
  <w:style w:type="paragraph" w:customStyle="1" w:styleId="111">
    <w:name w:val="附录表标号"/>
    <w:basedOn w:val="1"/>
    <w:next w:val="32"/>
    <w:qFormat/>
    <w:uiPriority w:val="99"/>
    <w:pPr>
      <w:numPr>
        <w:ilvl w:val="0"/>
        <w:numId w:val="8"/>
      </w:numPr>
      <w:spacing w:line="14" w:lineRule="exact"/>
      <w:ind w:left="811" w:hanging="448"/>
      <w:jc w:val="center"/>
      <w:outlineLvl w:val="0"/>
    </w:pPr>
    <w:rPr>
      <w:color w:val="FFFFFF"/>
    </w:rPr>
  </w:style>
  <w:style w:type="paragraph" w:customStyle="1" w:styleId="112">
    <w:name w:val="附录表标题"/>
    <w:basedOn w:val="1"/>
    <w:next w:val="32"/>
    <w:qFormat/>
    <w:uiPriority w:val="99"/>
    <w:pPr>
      <w:numPr>
        <w:ilvl w:val="1"/>
        <w:numId w:val="8"/>
      </w:numPr>
      <w:tabs>
        <w:tab w:val="left" w:pos="180"/>
      </w:tabs>
      <w:spacing w:beforeLines="50" w:afterLines="50"/>
      <w:jc w:val="center"/>
    </w:pPr>
    <w:rPr>
      <w:rFonts w:ascii="黑体" w:eastAsia="黑体"/>
      <w:szCs w:val="21"/>
    </w:rPr>
  </w:style>
  <w:style w:type="paragraph" w:customStyle="1" w:styleId="113">
    <w:name w:val="附录二级条标题"/>
    <w:basedOn w:val="1"/>
    <w:next w:val="32"/>
    <w:qFormat/>
    <w:uiPriority w:val="99"/>
    <w:pPr>
      <w:widowControl/>
      <w:numPr>
        <w:ilvl w:val="3"/>
        <w:numId w:val="7"/>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4">
    <w:name w:val="附录二级无"/>
    <w:basedOn w:val="113"/>
    <w:qFormat/>
    <w:uiPriority w:val="99"/>
    <w:pPr>
      <w:tabs>
        <w:tab w:val="clear" w:pos="360"/>
      </w:tabs>
      <w:spacing w:beforeLines="0" w:afterLines="0"/>
    </w:pPr>
    <w:rPr>
      <w:rFonts w:ascii="宋体" w:eastAsia="宋体"/>
      <w:szCs w:val="21"/>
    </w:rPr>
  </w:style>
  <w:style w:type="paragraph" w:customStyle="1" w:styleId="115">
    <w:name w:val="附录公式"/>
    <w:basedOn w:val="32"/>
    <w:next w:val="32"/>
    <w:link w:val="116"/>
    <w:qFormat/>
    <w:uiPriority w:val="99"/>
  </w:style>
  <w:style w:type="character" w:customStyle="1" w:styleId="116">
    <w:name w:val="附录公式 Char"/>
    <w:link w:val="115"/>
    <w:qFormat/>
    <w:locked/>
    <w:uiPriority w:val="99"/>
    <w:rPr>
      <w:rFonts w:ascii="宋体"/>
      <w:sz w:val="21"/>
      <w:lang w:val="en-US" w:eastAsia="zh-CN" w:bidi="ar-SA"/>
    </w:rPr>
  </w:style>
  <w:style w:type="paragraph" w:customStyle="1" w:styleId="117">
    <w:name w:val="附录公式编号制表符"/>
    <w:basedOn w:val="1"/>
    <w:next w:val="32"/>
    <w:qFormat/>
    <w:uiPriority w:val="99"/>
    <w:pPr>
      <w:widowControl/>
      <w:tabs>
        <w:tab w:val="center" w:pos="4201"/>
        <w:tab w:val="right" w:leader="dot" w:pos="9298"/>
      </w:tabs>
      <w:autoSpaceDE w:val="0"/>
      <w:autoSpaceDN w:val="0"/>
    </w:pPr>
    <w:rPr>
      <w:rFonts w:ascii="宋体"/>
      <w:kern w:val="0"/>
      <w:szCs w:val="20"/>
    </w:rPr>
  </w:style>
  <w:style w:type="paragraph" w:customStyle="1" w:styleId="118">
    <w:name w:val="附录三级条标题"/>
    <w:basedOn w:val="113"/>
    <w:next w:val="32"/>
    <w:qFormat/>
    <w:uiPriority w:val="99"/>
    <w:pPr>
      <w:numPr>
        <w:ilvl w:val="4"/>
      </w:numPr>
      <w:outlineLvl w:val="4"/>
    </w:pPr>
  </w:style>
  <w:style w:type="paragraph" w:customStyle="1" w:styleId="119">
    <w:name w:val="附录三级无"/>
    <w:basedOn w:val="118"/>
    <w:qFormat/>
    <w:uiPriority w:val="99"/>
    <w:pPr>
      <w:tabs>
        <w:tab w:val="clear" w:pos="360"/>
      </w:tabs>
      <w:spacing w:beforeLines="0" w:afterLines="0"/>
    </w:pPr>
    <w:rPr>
      <w:rFonts w:ascii="宋体" w:eastAsia="宋体"/>
      <w:szCs w:val="21"/>
    </w:rPr>
  </w:style>
  <w:style w:type="paragraph" w:customStyle="1" w:styleId="120">
    <w:name w:val="附录数字编号列项（二级）"/>
    <w:qFormat/>
    <w:uiPriority w:val="99"/>
    <w:pPr>
      <w:numPr>
        <w:ilvl w:val="1"/>
        <w:numId w:val="9"/>
      </w:numPr>
    </w:pPr>
    <w:rPr>
      <w:rFonts w:ascii="宋体" w:hAnsi="Times New Roman" w:eastAsia="宋体" w:cs="Times New Roman"/>
      <w:sz w:val="21"/>
      <w:lang w:val="en-US" w:eastAsia="zh-CN" w:bidi="ar-SA"/>
    </w:rPr>
  </w:style>
  <w:style w:type="paragraph" w:customStyle="1" w:styleId="121">
    <w:name w:val="附录四级条标题"/>
    <w:basedOn w:val="118"/>
    <w:next w:val="32"/>
    <w:qFormat/>
    <w:uiPriority w:val="99"/>
    <w:pPr>
      <w:numPr>
        <w:ilvl w:val="5"/>
      </w:numPr>
      <w:outlineLvl w:val="5"/>
    </w:pPr>
  </w:style>
  <w:style w:type="paragraph" w:customStyle="1" w:styleId="122">
    <w:name w:val="附录四级无"/>
    <w:basedOn w:val="121"/>
    <w:qFormat/>
    <w:uiPriority w:val="99"/>
    <w:pPr>
      <w:tabs>
        <w:tab w:val="clear" w:pos="360"/>
      </w:tabs>
      <w:spacing w:beforeLines="0" w:afterLines="0"/>
    </w:pPr>
    <w:rPr>
      <w:rFonts w:ascii="宋体" w:eastAsia="宋体"/>
      <w:szCs w:val="21"/>
    </w:rPr>
  </w:style>
  <w:style w:type="paragraph" w:customStyle="1" w:styleId="123">
    <w:name w:val="附录图标号"/>
    <w:basedOn w:val="1"/>
    <w:qFormat/>
    <w:uiPriority w:val="99"/>
    <w:pPr>
      <w:keepNext/>
      <w:pageBreakBefore/>
      <w:widowControl/>
      <w:numPr>
        <w:ilvl w:val="0"/>
        <w:numId w:val="10"/>
      </w:numPr>
      <w:spacing w:line="14" w:lineRule="exact"/>
      <w:ind w:firstLine="363"/>
      <w:jc w:val="center"/>
      <w:outlineLvl w:val="0"/>
    </w:pPr>
    <w:rPr>
      <w:color w:val="FFFFFF"/>
    </w:rPr>
  </w:style>
  <w:style w:type="paragraph" w:customStyle="1" w:styleId="124">
    <w:name w:val="附录图标题"/>
    <w:basedOn w:val="1"/>
    <w:next w:val="32"/>
    <w:qFormat/>
    <w:uiPriority w:val="99"/>
    <w:pPr>
      <w:numPr>
        <w:ilvl w:val="1"/>
        <w:numId w:val="10"/>
      </w:numPr>
      <w:tabs>
        <w:tab w:val="left" w:pos="363"/>
      </w:tabs>
      <w:spacing w:beforeLines="50" w:afterLines="50"/>
      <w:jc w:val="center"/>
    </w:pPr>
    <w:rPr>
      <w:rFonts w:ascii="黑体" w:eastAsia="黑体"/>
      <w:szCs w:val="21"/>
    </w:rPr>
  </w:style>
  <w:style w:type="paragraph" w:customStyle="1" w:styleId="125">
    <w:name w:val="附录五级条标题"/>
    <w:basedOn w:val="121"/>
    <w:next w:val="32"/>
    <w:qFormat/>
    <w:uiPriority w:val="0"/>
    <w:pPr>
      <w:numPr>
        <w:ilvl w:val="6"/>
      </w:numPr>
      <w:outlineLvl w:val="6"/>
    </w:pPr>
  </w:style>
  <w:style w:type="paragraph" w:customStyle="1" w:styleId="126">
    <w:name w:val="附录五级无"/>
    <w:basedOn w:val="125"/>
    <w:qFormat/>
    <w:uiPriority w:val="99"/>
    <w:pPr>
      <w:tabs>
        <w:tab w:val="clear" w:pos="360"/>
      </w:tabs>
      <w:spacing w:beforeLines="0" w:afterLines="0"/>
    </w:pPr>
    <w:rPr>
      <w:rFonts w:ascii="宋体" w:eastAsia="宋体"/>
      <w:szCs w:val="21"/>
    </w:rPr>
  </w:style>
  <w:style w:type="paragraph" w:customStyle="1" w:styleId="127">
    <w:name w:val="附录章标题"/>
    <w:next w:val="32"/>
    <w:qFormat/>
    <w:uiPriority w:val="99"/>
    <w:pPr>
      <w:numPr>
        <w:ilvl w:val="1"/>
        <w:numId w:val="7"/>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8">
    <w:name w:val="附录一级条标题"/>
    <w:basedOn w:val="127"/>
    <w:next w:val="32"/>
    <w:qFormat/>
    <w:uiPriority w:val="99"/>
    <w:pPr>
      <w:numPr>
        <w:ilvl w:val="2"/>
      </w:numPr>
      <w:autoSpaceDN w:val="0"/>
      <w:spacing w:beforeLines="50" w:afterLines="50"/>
      <w:outlineLvl w:val="2"/>
    </w:pPr>
  </w:style>
  <w:style w:type="paragraph" w:customStyle="1" w:styleId="129">
    <w:name w:val="附录一级无"/>
    <w:basedOn w:val="128"/>
    <w:qFormat/>
    <w:uiPriority w:val="99"/>
    <w:pPr>
      <w:tabs>
        <w:tab w:val="clear" w:pos="360"/>
      </w:tabs>
      <w:spacing w:beforeLines="0" w:afterLines="0"/>
    </w:pPr>
    <w:rPr>
      <w:rFonts w:ascii="宋体" w:eastAsia="宋体"/>
      <w:szCs w:val="21"/>
    </w:rPr>
  </w:style>
  <w:style w:type="paragraph" w:customStyle="1" w:styleId="130">
    <w:name w:val="附录字母编号列项（一级）"/>
    <w:qFormat/>
    <w:uiPriority w:val="99"/>
    <w:pPr>
      <w:numPr>
        <w:ilvl w:val="0"/>
        <w:numId w:val="9"/>
      </w:numPr>
    </w:pPr>
    <w:rPr>
      <w:rFonts w:ascii="宋体" w:hAnsi="Times New Roman" w:eastAsia="宋体" w:cs="Times New Roman"/>
      <w:sz w:val="21"/>
      <w:lang w:val="en-US" w:eastAsia="zh-CN" w:bidi="ar-SA"/>
    </w:rPr>
  </w:style>
  <w:style w:type="paragraph" w:customStyle="1" w:styleId="131">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32">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33">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34">
    <w:name w:val="其他标准标志"/>
    <w:basedOn w:val="91"/>
    <w:qFormat/>
    <w:uiPriority w:val="99"/>
    <w:pPr>
      <w:framePr w:w="6101" w:vAnchor="page" w:hAnchor="page" w:x="4673" w:y="942"/>
    </w:pPr>
    <w:rPr>
      <w:w w:val="130"/>
    </w:rPr>
  </w:style>
  <w:style w:type="paragraph" w:customStyle="1" w:styleId="135">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6">
    <w:name w:val="其他发布部门"/>
    <w:basedOn w:val="99"/>
    <w:qFormat/>
    <w:uiPriority w:val="99"/>
    <w:pPr>
      <w:framePr w:y="15310"/>
      <w:spacing w:line="240" w:lineRule="atLeast"/>
    </w:pPr>
    <w:rPr>
      <w:rFonts w:ascii="黑体" w:eastAsia="黑体"/>
      <w:b w:val="0"/>
    </w:rPr>
  </w:style>
  <w:style w:type="paragraph" w:customStyle="1" w:styleId="137">
    <w:name w:val="前言、引言标题"/>
    <w:next w:val="32"/>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8">
    <w:name w:val="三级无"/>
    <w:basedOn w:val="76"/>
    <w:qFormat/>
    <w:uiPriority w:val="99"/>
    <w:pPr>
      <w:spacing w:beforeLines="0" w:afterLines="0"/>
    </w:pPr>
    <w:rPr>
      <w:rFonts w:ascii="宋体" w:eastAsia="宋体"/>
    </w:rPr>
  </w:style>
  <w:style w:type="paragraph" w:customStyle="1" w:styleId="139">
    <w:name w:val="实施日期"/>
    <w:basedOn w:val="100"/>
    <w:qFormat/>
    <w:uiPriority w:val="99"/>
    <w:pPr>
      <w:framePr w:vAnchor="page" w:hAnchor="text"/>
      <w:jc w:val="right"/>
    </w:pPr>
  </w:style>
  <w:style w:type="paragraph" w:customStyle="1" w:styleId="140">
    <w:name w:val="示例后文字"/>
    <w:basedOn w:val="32"/>
    <w:next w:val="32"/>
    <w:qFormat/>
    <w:uiPriority w:val="99"/>
    <w:pPr>
      <w:ind w:firstLine="360"/>
    </w:pPr>
    <w:rPr>
      <w:sz w:val="18"/>
    </w:rPr>
  </w:style>
  <w:style w:type="paragraph" w:customStyle="1" w:styleId="141">
    <w:name w:val="首示例"/>
    <w:next w:val="32"/>
    <w:link w:val="142"/>
    <w:qFormat/>
    <w:uiPriority w:val="99"/>
    <w:pPr>
      <w:tabs>
        <w:tab w:val="left" w:pos="360"/>
      </w:tabs>
    </w:pPr>
    <w:rPr>
      <w:rFonts w:ascii="宋体" w:hAnsi="宋体" w:eastAsia="宋体" w:cs="Times New Roman"/>
      <w:kern w:val="2"/>
      <w:sz w:val="18"/>
      <w:szCs w:val="18"/>
      <w:lang w:val="en-US" w:eastAsia="zh-CN" w:bidi="ar-SA"/>
    </w:rPr>
  </w:style>
  <w:style w:type="character" w:customStyle="1" w:styleId="142">
    <w:name w:val="首示例 Char"/>
    <w:link w:val="141"/>
    <w:qFormat/>
    <w:locked/>
    <w:uiPriority w:val="99"/>
    <w:rPr>
      <w:rFonts w:ascii="宋体" w:hAnsi="宋体"/>
      <w:kern w:val="2"/>
      <w:sz w:val="18"/>
      <w:szCs w:val="18"/>
      <w:lang w:val="en-US" w:eastAsia="zh-CN" w:bidi="ar-SA"/>
    </w:rPr>
  </w:style>
  <w:style w:type="paragraph" w:customStyle="1" w:styleId="143">
    <w:name w:val="四级无"/>
    <w:basedOn w:val="80"/>
    <w:qFormat/>
    <w:uiPriority w:val="99"/>
    <w:pPr>
      <w:spacing w:beforeLines="0" w:afterLines="0"/>
    </w:pPr>
    <w:rPr>
      <w:rFonts w:ascii="宋体" w:eastAsia="宋体"/>
    </w:rPr>
  </w:style>
  <w:style w:type="paragraph" w:customStyle="1" w:styleId="144">
    <w:name w:val="条文脚注"/>
    <w:basedOn w:val="33"/>
    <w:qFormat/>
    <w:uiPriority w:val="99"/>
    <w:pPr>
      <w:numPr>
        <w:numId w:val="0"/>
      </w:numPr>
      <w:jc w:val="both"/>
    </w:pPr>
  </w:style>
  <w:style w:type="paragraph" w:customStyle="1" w:styleId="145">
    <w:name w:val="图标脚注说明"/>
    <w:basedOn w:val="32"/>
    <w:qFormat/>
    <w:uiPriority w:val="99"/>
    <w:pPr>
      <w:ind w:left="840" w:hanging="420" w:firstLineChars="0"/>
    </w:pPr>
    <w:rPr>
      <w:sz w:val="18"/>
      <w:szCs w:val="18"/>
    </w:rPr>
  </w:style>
  <w:style w:type="paragraph" w:customStyle="1" w:styleId="146">
    <w:name w:val="图表脚注说明"/>
    <w:basedOn w:val="1"/>
    <w:qFormat/>
    <w:uiPriority w:val="99"/>
    <w:pPr>
      <w:ind w:left="544" w:hanging="181"/>
    </w:pPr>
    <w:rPr>
      <w:rFonts w:ascii="宋体"/>
      <w:sz w:val="18"/>
      <w:szCs w:val="18"/>
    </w:rPr>
  </w:style>
  <w:style w:type="paragraph" w:customStyle="1" w:styleId="147">
    <w:name w:val="图的脚注"/>
    <w:next w:val="32"/>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8">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9">
    <w:name w:val="五级无"/>
    <w:basedOn w:val="81"/>
    <w:qFormat/>
    <w:uiPriority w:val="99"/>
    <w:pPr>
      <w:spacing w:beforeLines="0" w:afterLines="0"/>
    </w:pPr>
    <w:rPr>
      <w:rFonts w:ascii="宋体" w:eastAsia="宋体"/>
    </w:rPr>
  </w:style>
  <w:style w:type="paragraph" w:customStyle="1" w:styleId="150">
    <w:name w:val="一级无"/>
    <w:basedOn w:val="67"/>
    <w:qFormat/>
    <w:uiPriority w:val="99"/>
    <w:pPr>
      <w:spacing w:beforeLines="0" w:afterLines="0"/>
    </w:pPr>
    <w:rPr>
      <w:rFonts w:ascii="宋体" w:eastAsia="宋体"/>
    </w:rPr>
  </w:style>
  <w:style w:type="paragraph" w:customStyle="1" w:styleId="151">
    <w:name w:val="正文表标题"/>
    <w:next w:val="3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2">
    <w:name w:val="正文公式编号制表符"/>
    <w:basedOn w:val="32"/>
    <w:next w:val="32"/>
    <w:qFormat/>
    <w:uiPriority w:val="0"/>
    <w:pPr>
      <w:ind w:firstLine="0" w:firstLineChars="0"/>
    </w:pPr>
  </w:style>
  <w:style w:type="paragraph" w:customStyle="1" w:styleId="153">
    <w:name w:val="正文图标题"/>
    <w:next w:val="3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4">
    <w:name w:val="终结线"/>
    <w:basedOn w:val="1"/>
    <w:qFormat/>
    <w:uiPriority w:val="99"/>
    <w:pPr>
      <w:framePr w:hSpace="181" w:vSpace="181" w:wrap="around" w:vAnchor="text" w:hAnchor="margin" w:xAlign="center" w:y="285"/>
    </w:pPr>
  </w:style>
  <w:style w:type="paragraph" w:customStyle="1" w:styleId="155">
    <w:name w:val="其他发布日期"/>
    <w:basedOn w:val="100"/>
    <w:qFormat/>
    <w:uiPriority w:val="99"/>
    <w:pPr>
      <w:framePr w:vAnchor="page" w:hAnchor="text" w:x="1419"/>
    </w:pPr>
  </w:style>
  <w:style w:type="paragraph" w:customStyle="1" w:styleId="156">
    <w:name w:val="其他实施日期"/>
    <w:basedOn w:val="139"/>
    <w:qFormat/>
    <w:uiPriority w:val="99"/>
  </w:style>
  <w:style w:type="paragraph" w:customStyle="1" w:styleId="157">
    <w:name w:val="封面标准名称2"/>
    <w:basedOn w:val="103"/>
    <w:qFormat/>
    <w:uiPriority w:val="99"/>
    <w:pPr>
      <w:framePr w:y="4469"/>
      <w:spacing w:beforeLines="630"/>
    </w:pPr>
  </w:style>
  <w:style w:type="paragraph" w:customStyle="1" w:styleId="158">
    <w:name w:val="封面标准英文名称2"/>
    <w:basedOn w:val="104"/>
    <w:qFormat/>
    <w:uiPriority w:val="99"/>
    <w:pPr>
      <w:framePr w:y="4469"/>
    </w:pPr>
  </w:style>
  <w:style w:type="paragraph" w:customStyle="1" w:styleId="159">
    <w:name w:val="封面一致性程度标识2"/>
    <w:basedOn w:val="105"/>
    <w:qFormat/>
    <w:uiPriority w:val="99"/>
    <w:pPr>
      <w:framePr w:y="4469"/>
    </w:pPr>
  </w:style>
  <w:style w:type="paragraph" w:customStyle="1" w:styleId="160">
    <w:name w:val="封面标准文稿类别2"/>
    <w:basedOn w:val="106"/>
    <w:qFormat/>
    <w:uiPriority w:val="99"/>
    <w:pPr>
      <w:framePr w:y="4469"/>
    </w:pPr>
  </w:style>
  <w:style w:type="paragraph" w:customStyle="1" w:styleId="161">
    <w:name w:val="封面标准文稿编辑信息2"/>
    <w:basedOn w:val="107"/>
    <w:qFormat/>
    <w:uiPriority w:val="99"/>
    <w:pPr>
      <w:framePr w:y="4469"/>
    </w:pPr>
  </w:style>
  <w:style w:type="character" w:customStyle="1" w:styleId="162">
    <w:name w:val="apple-converted-space"/>
    <w:qFormat/>
    <w:uiPriority w:val="99"/>
    <w:rPr>
      <w:rFonts w:cs="Times New Roman"/>
    </w:rPr>
  </w:style>
  <w:style w:type="paragraph" w:customStyle="1" w:styleId="163">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64">
    <w:name w:val="一级条标题 Char"/>
    <w:link w:val="67"/>
    <w:qFormat/>
    <w:locked/>
    <w:uiPriority w:val="99"/>
    <w:rPr>
      <w:rFonts w:ascii="黑体" w:eastAsia="黑体"/>
      <w:sz w:val="21"/>
      <w:szCs w:val="21"/>
    </w:rPr>
  </w:style>
  <w:style w:type="character" w:customStyle="1" w:styleId="165">
    <w:name w:val="明显参考1"/>
    <w:qFormat/>
    <w:uiPriority w:val="99"/>
    <w:rPr>
      <w:rFonts w:cs="Times New Roman"/>
      <w:b/>
      <w:smallCaps/>
      <w:color w:val="C0504D"/>
      <w:spacing w:val="5"/>
      <w:u w:val="single"/>
    </w:rPr>
  </w:style>
  <w:style w:type="character" w:customStyle="1" w:styleId="166">
    <w:name w:val="段 Char Char"/>
    <w:qFormat/>
    <w:uiPriority w:val="99"/>
    <w:rPr>
      <w:rFonts w:ascii="宋体"/>
      <w:sz w:val="21"/>
      <w:lang w:val="en-US" w:eastAsia="zh-CN"/>
    </w:rPr>
  </w:style>
  <w:style w:type="character" w:customStyle="1" w:styleId="167">
    <w:name w:val="layui-this"/>
    <w:qFormat/>
    <w:uiPriority w:val="99"/>
    <w:rPr>
      <w:rFonts w:cs="Times New Roman"/>
      <w:bdr w:val="single" w:color="EEEEEE" w:sz="4" w:space="0"/>
      <w:shd w:val="clear" w:color="auto" w:fill="FFFFFF"/>
    </w:rPr>
  </w:style>
  <w:style w:type="character" w:customStyle="1" w:styleId="168">
    <w:name w:val="hover8"/>
    <w:qFormat/>
    <w:uiPriority w:val="99"/>
    <w:rPr>
      <w:rFonts w:cs="Times New Roman"/>
      <w:color w:val="337AB7"/>
    </w:rPr>
  </w:style>
  <w:style w:type="character" w:customStyle="1" w:styleId="169">
    <w:name w:val="hover9"/>
    <w:qFormat/>
    <w:uiPriority w:val="99"/>
    <w:rPr>
      <w:rFonts w:cs="Times New Roman"/>
      <w:color w:val="337AB7"/>
    </w:rPr>
  </w:style>
  <w:style w:type="character" w:customStyle="1" w:styleId="170">
    <w:name w:val="hover10"/>
    <w:qFormat/>
    <w:uiPriority w:val="99"/>
    <w:rPr>
      <w:rFonts w:cs="Times New Roman"/>
      <w:color w:val="2B6EC9"/>
      <w:bdr w:val="single" w:color="0F67AE" w:sz="4" w:space="0"/>
    </w:rPr>
  </w:style>
  <w:style w:type="character" w:customStyle="1" w:styleId="171">
    <w:name w:val="on"/>
    <w:qFormat/>
    <w:uiPriority w:val="99"/>
    <w:rPr>
      <w:rFonts w:cs="Times New Roman"/>
    </w:rPr>
  </w:style>
  <w:style w:type="character" w:customStyle="1" w:styleId="172">
    <w:name w:val="first-child"/>
    <w:qFormat/>
    <w:uiPriority w:val="99"/>
    <w:rPr>
      <w:rFonts w:cs="Times New Roman"/>
    </w:rPr>
  </w:style>
  <w:style w:type="character" w:customStyle="1" w:styleId="173">
    <w:name w:val="hover6"/>
    <w:qFormat/>
    <w:uiPriority w:val="99"/>
    <w:rPr>
      <w:rFonts w:cs="Times New Roman"/>
      <w:color w:val="2B6EC9"/>
      <w:bdr w:val="single" w:color="0F67AE" w:sz="4" w:space="0"/>
    </w:rPr>
  </w:style>
  <w:style w:type="character" w:customStyle="1" w:styleId="174">
    <w:name w:val="hover7"/>
    <w:qFormat/>
    <w:uiPriority w:val="99"/>
    <w:rPr>
      <w:rFonts w:cs="Times New Roman"/>
      <w:color w:val="337AB7"/>
    </w:rPr>
  </w:style>
  <w:style w:type="character" w:customStyle="1" w:styleId="175">
    <w:name w:val="批注框文本 字符"/>
    <w:basedOn w:val="43"/>
    <w:link w:val="25"/>
    <w:semiHidden/>
    <w:qFormat/>
    <w:uiPriority w:val="99"/>
    <w:rPr>
      <w:kern w:val="2"/>
      <w:sz w:val="18"/>
      <w:szCs w:val="18"/>
    </w:rPr>
  </w:style>
  <w:style w:type="paragraph" w:customStyle="1" w:styleId="176">
    <w:name w:val="正文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7">
    <w:name w:val="二级条标题 Char"/>
    <w:link w:val="71"/>
    <w:qFormat/>
    <w:uiPriority w:val="99"/>
  </w:style>
  <w:style w:type="character" w:customStyle="1" w:styleId="178">
    <w:name w:val="编号列项（三级） Char"/>
    <w:link w:val="86"/>
    <w:qFormat/>
    <w:uiPriority w:val="99"/>
    <w:rPr>
      <w:rFonts w:ascii="宋体" w:hAnsi="Times New Roman" w:eastAsia="宋体" w:cs="Times New Roman"/>
      <w:sz w:val="21"/>
      <w:lang w:val="en-US" w:eastAsia="zh-CN" w:bidi="ar-SA"/>
    </w:rPr>
  </w:style>
  <w:style w:type="character" w:customStyle="1" w:styleId="179">
    <w:name w:val="章标题 Char"/>
    <w:link w:val="70"/>
    <w:qFormat/>
    <w:uiPriority w:val="0"/>
    <w:rPr>
      <w:rFonts w:ascii="黑体" w:hAnsi="Times New Roman" w:eastAsia="黑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380</Words>
  <Characters>2170</Characters>
  <Lines>18</Lines>
  <Paragraphs>5</Paragraphs>
  <TotalTime>3</TotalTime>
  <ScaleCrop>false</ScaleCrop>
  <LinksUpToDate>false</LinksUpToDate>
  <CharactersWithSpaces>2545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2020-01-06T18:24:00Z</dcterms:created>
  <dcterms:modified xsi:type="dcterms:W3CDTF">2024-05-13T10:29:48Z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EF241E7C68B34B288030FDC9446270BC_13</vt:lpwstr>
  </property>
</Properties>
</file>