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2"/>
        <w:rPr>
          <w:rFonts w:cs="Times New Roman"/>
          <w:color w:val="000000"/>
        </w:rPr>
      </w:pPr>
      <w:r>
        <w:rPr>
          <w:rFonts w:hint="eastAsia"/>
          <w:color w:val="000000"/>
          <w:lang w:val="en-US" w:eastAsia="zh-CN"/>
        </w:rPr>
        <w:t>ICS 03.100.01</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32"/>
        <w:rPr>
          <w:rFonts w:hint="default" w:eastAsia="黑体"/>
          <w:color w:val="000000"/>
          <w:lang w:val="en-US" w:eastAsia="zh-CN"/>
        </w:rPr>
      </w:pP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rFonts w:hint="eastAsia" w:cs="Times New Roman"/>
          <w:color w:val="000000"/>
          <w:lang w:val="en-US" w:eastAsia="zh-CN"/>
        </w:rPr>
        <w:t>CCS A 12</w:t>
      </w:r>
      <w:r>
        <w:rPr>
          <w:rFonts w:cs="Times New Roman"/>
          <w:color w:val="000000"/>
        </w:rPr>
        <w:t>  </w:t>
      </w:r>
      <w:r>
        <w:rPr>
          <w:color w:val="000000"/>
        </w:rPr>
        <w:fldChar w:fldCharType="end"/>
      </w:r>
      <w:bookmarkEnd w:id="0"/>
    </w:p>
    <w:tbl>
      <w:tblPr>
        <w:tblStyle w:val="32"/>
        <w:tblW w:w="9854"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132"/>
              <w:rPr>
                <w:rFonts w:cs="Times New Roman"/>
                <w:color w:val="000000"/>
              </w:rPr>
            </w:pPr>
            <w:r>
              <w:pict>
                <v:rect id="BAH" o:spid="_x0000_s1026" o:spt="1" style="position:absolute;left:0pt;margin-left:-5.25pt;margin-top:0pt;height:15.6pt;width:68.25pt;z-index:-251659264;mso-width-relative:page;mso-height-relative:page;"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">
                  <v:path/>
                  <v:fill focussize="0,0"/>
                  <v:stroke on="f"/>
                  <v:imagedata o:title=""/>
                  <o:lock v:ext="edit"/>
                </v:rect>
              </w:pict>
            </w:r>
          </w:p>
        </w:tc>
      </w:tr>
    </w:tbl>
    <w:p>
      <w:pPr>
        <w:pStyle w:val="118"/>
        <w:rPr>
          <w:color w:val="000000"/>
        </w:rPr>
      </w:pPr>
      <w:r>
        <w:rPr>
          <w:color w:val="000000"/>
        </w:rPr>
        <w:t>DB1308</w:t>
      </w:r>
    </w:p>
    <w:p>
      <w:pPr>
        <w:pStyle w:val="119"/>
        <w:rPr>
          <w:rFonts w:cs="Times New Roman"/>
          <w:color w:val="000000"/>
        </w:rPr>
      </w:pPr>
      <w:r>
        <w:rPr>
          <w:rFonts w:hint="eastAsia"/>
          <w:color w:val="000000"/>
        </w:rPr>
        <w:t>承德市地方标准</w:t>
      </w:r>
    </w:p>
    <w:p>
      <w:pPr>
        <w:pStyle w:val="56"/>
        <w:rPr>
          <w:color w:val="000000"/>
        </w:rPr>
      </w:pPr>
      <w:r>
        <w:rPr>
          <w:color w:val="000000"/>
        </w:rPr>
        <w:t>DB1308/T 2</w:t>
      </w:r>
      <w:r>
        <w:rPr>
          <w:rFonts w:hint="eastAsia"/>
          <w:color w:val="000000"/>
        </w:rPr>
        <w:t>63</w:t>
      </w:r>
      <w:r>
        <w:rPr>
          <w:rFonts w:cs="Times New Roman"/>
          <w:color w:val="000000"/>
        </w:rPr>
        <w:t>—</w:t>
      </w:r>
      <w:r>
        <w:rPr>
          <w:color w:val="000000"/>
        </w:rPr>
        <w:t>20</w:t>
      </w:r>
      <w:r>
        <w:rPr>
          <w:rFonts w:hint="eastAsia"/>
          <w:color w:val="000000"/>
          <w:lang w:val="en-US" w:eastAsia="zh-CN"/>
        </w:rPr>
        <w:t>24</w:t>
      </w:r>
    </w:p>
    <w:tbl>
      <w:tblPr>
        <w:tblStyle w:val="32"/>
        <w:tblW w:w="9356"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5"/>
              <w:rPr>
                <w:rFonts w:cs="Times New Roman"/>
                <w:color w:val="000000"/>
              </w:rPr>
            </w:pPr>
            <w:bookmarkStart w:id="1" w:name="DT"/>
            <w:r>
              <w:pict>
                <v:rect id="DT" o:spid="_x0000_s1031" o:spt="1" style="position:absolute;left:0pt;margin-left:372.8pt;margin-top:2.7pt;height:18pt;width:90pt;z-index:-251658240;mso-width-relative:page;mso-height-relative:page;"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AeYPLL1gAAAAgBAAAPAAAAAAAAAAEAIAAAACIAAABkcnMvZG93bnJldi54bWxQSwEC&#10;FAAUAAAACACHTuJAUCEfe4QBAAALAwAADgAAAAAAAAABACAAAAAlAQAAZHJzL2Uyb0RvYy54bWxQ&#10;SwUGAAAAAAYABgBZAQAAGwUAAAAA&#10;">
                  <v:path/>
                  <v:fill focussize="0,0"/>
                  <v:stroke on="f"/>
                  <v:imagedata o:title=""/>
                  <o:lock v:ext="edit"/>
                </v:rect>
              </w:pic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rFonts w:cs="Times New Roman"/>
                <w:color w:val="000000"/>
              </w:rPr>
              <w:t> </w:t>
            </w:r>
            <w:r>
              <w:rPr>
                <w:rFonts w:hint="eastAsia" w:cs="Times New Roman"/>
                <w:color w:val="000000"/>
                <w:lang w:eastAsia="zh-CN"/>
              </w:rPr>
              <w:t>代替</w:t>
            </w:r>
            <w:r>
              <w:rPr>
                <w:rFonts w:hint="eastAsia" w:cs="Times New Roman"/>
                <w:color w:val="000000"/>
                <w:lang w:val="en-US" w:eastAsia="zh-CN"/>
              </w:rPr>
              <w:t xml:space="preserve"> DB1308/T 263-2019</w:t>
            </w:r>
            <w:r>
              <w:rPr>
                <w:rFonts w:cs="Times New Roman"/>
                <w:color w:val="000000"/>
              </w:rPr>
              <w:t>    </w:t>
            </w:r>
            <w:r>
              <w:rPr>
                <w:color w:val="000000"/>
              </w:rPr>
              <w:fldChar w:fldCharType="end"/>
            </w:r>
            <w:bookmarkEnd w:id="1"/>
          </w:p>
        </w:tc>
      </w:tr>
    </w:tbl>
    <w:p>
      <w:pPr>
        <w:pStyle w:val="56"/>
        <w:rPr>
          <w:rFonts w:cs="Times New Roman"/>
          <w:color w:val="000000"/>
        </w:rPr>
      </w:pPr>
    </w:p>
    <w:p>
      <w:pPr>
        <w:pStyle w:val="56"/>
        <w:rPr>
          <w:rFonts w:cs="Times New Roman"/>
          <w:color w:val="000000"/>
        </w:rPr>
      </w:pPr>
    </w:p>
    <w:p>
      <w:pPr>
        <w:pStyle w:val="87"/>
        <w:spacing w:before="156" w:after="156"/>
        <w:rPr>
          <w:rFonts w:cs="Times New Roman"/>
          <w:color w:val="000000"/>
        </w:rPr>
      </w:pPr>
      <w:r>
        <w:rPr>
          <w:rFonts w:hint="eastAsia"/>
        </w:rPr>
        <w:t>中小学校食堂管理规范</w:t>
      </w:r>
    </w:p>
    <w:p>
      <w:pPr>
        <w:pStyle w:val="87"/>
        <w:rPr>
          <w:rFonts w:cs="Times New Roman"/>
          <w:color w:val="000000"/>
        </w:rPr>
      </w:pPr>
    </w:p>
    <w:p>
      <w:pPr>
        <w:pStyle w:val="88"/>
        <w:rPr>
          <w:rFonts w:hint="eastAsia" w:eastAsia="黑体"/>
          <w:color w:val="000000"/>
          <w:lang w:eastAsia="zh-CN"/>
        </w:rPr>
      </w:pPr>
      <w:r>
        <w:rPr>
          <w:rFonts w:hint="eastAsia"/>
          <w:color w:val="000000"/>
          <w:lang w:eastAsia="zh-CN"/>
        </w:rPr>
        <w:t>（征求意见稿）</w:t>
      </w:r>
    </w:p>
    <w:p>
      <w:pPr>
        <w:pStyle w:val="89"/>
        <w:rPr>
          <w:rFonts w:cs="Times New Roman"/>
          <w:color w:val="000000"/>
        </w:rPr>
      </w:pPr>
    </w:p>
    <w:tbl>
      <w:tblPr>
        <w:tblStyle w:val="32"/>
        <w:tblW w:w="9855" w:type="dxa"/>
        <w:tblInd w:w="-1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0"/>
              <w:rPr>
                <w:rFonts w:cs="Times New Roman"/>
                <w:color w:val="000000"/>
              </w:rPr>
            </w:pPr>
            <w:r>
              <w:pict>
                <v:rect id="RQ" o:spid="_x0000_s1030" o:spt="1" style="position:absolute;left:0pt;margin-left:173.3pt;margin-top:45.15pt;height:20pt;width:150pt;z-index:-251657216;mso-width-relative:page;mso-height-relative:page;"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">
                  <v:path/>
                  <v:fill focussize="0,0"/>
                  <v:stroke on="f"/>
                  <v:imagedata o:title=""/>
                  <o:lock v:ext="edit"/>
                  <w10:anchorlock/>
                </v:rect>
              </w:pict>
            </w:r>
            <w:r>
              <w:pict>
                <v:rect id="LB" o:spid="_x0000_s1029" o:spt="1" style="position:absolute;left:0pt;margin-left:193.3pt;margin-top:20.15pt;height:24pt;width:100pt;z-index:-251656192;mso-width-relative:page;mso-height-relative:page;"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">
                  <v:path/>
                  <v:fill focussize="0,0"/>
                  <v:stroke on="f"/>
                  <v:imagedata o:title=""/>
                  <o:lock v:ext="edit"/>
                  <w10:anchorlock/>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1"/>
              <w:jc w:val="both"/>
              <w:rPr>
                <w:rFonts w:cs="Times New Roman"/>
                <w:color w:val="000000"/>
              </w:rPr>
            </w:pPr>
          </w:p>
        </w:tc>
      </w:tr>
    </w:tbl>
    <w:p>
      <w:pPr>
        <w:pStyle w:val="139"/>
        <w:framePr w:hAnchor="page" w:x="1486" w:y="14101"/>
        <w:rPr>
          <w:color w:val="000000"/>
        </w:rPr>
      </w:pPr>
      <w:r>
        <w:rPr>
          <w:rFonts w:ascii="黑体" w:cs="黑体"/>
          <w:color w:val="000000"/>
        </w:rPr>
        <w:t>20</w:t>
      </w:r>
      <w:r>
        <w:rPr>
          <w:rFonts w:hint="eastAsia" w:ascii="黑体" w:cs="黑体"/>
          <w:color w:val="000000"/>
          <w:lang w:val="en-US" w:eastAsia="zh-CN"/>
        </w:rPr>
        <w:t>24</w:t>
      </w:r>
      <w:r>
        <w:rPr>
          <w:rFonts w:ascii="黑体" w:cs="黑体"/>
          <w:color w:val="000000"/>
        </w:rPr>
        <w:t>-</w:t>
      </w:r>
      <w:r>
        <w:rPr>
          <w:rFonts w:hint="eastAsia" w:ascii="黑体" w:cs="黑体"/>
          <w:color w:val="000000"/>
          <w:lang w:val="en-US" w:eastAsia="zh-CN"/>
        </w:rPr>
        <w:t>**</w:t>
      </w:r>
      <w:r>
        <w:rPr>
          <w:rFonts w:ascii="黑体" w:cs="黑体"/>
          <w:color w:val="000000"/>
        </w:rPr>
        <w:t>-</w:t>
      </w:r>
      <w:r>
        <w:rPr>
          <w:rFonts w:hint="eastAsia" w:ascii="黑体" w:cs="黑体"/>
          <w:color w:val="000000"/>
          <w:lang w:val="en-US" w:eastAsia="zh-CN"/>
        </w:rPr>
        <w:t>**</w:t>
      </w:r>
      <w:r>
        <w:rPr>
          <w:rFonts w:hint="eastAsia" w:cs="黑体"/>
          <w:color w:val="000000"/>
        </w:rPr>
        <w:t>发布</w:t>
      </w:r>
      <w:r>
        <w:pict>
          <v:line id="直线 6" o:spid="_x0000_s1028" o:spt="20" style="position:absolute;left:0pt;margin-left:-0.05pt;margin-top:728.5pt;height:0pt;width:481.9pt;mso-position-vertical-relative:page;z-index:251655168;mso-width-relative:page;mso-height-relative:page;"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CWHazzWAAAACwEAAA8AAAAAAAAAAQAgAAAAIgAAAGRycy9k&#10;b3ducmV2LnhtbFBLAQIUABQAAAAIAIdO4kCBTJDDywEAAI0DAAAOAAAAAAAAAAEAIAAAACUBAABk&#10;cnMvZTJvRG9jLnhtbFBLBQYAAAAABgAGAFkBAABiBQAAAAA=&#10;">
            <v:path arrowok="t"/>
            <v:fill focussize="0,0"/>
            <v:stroke/>
            <v:imagedata o:title=""/>
            <o:lock v:ext="edit"/>
            <w10:anchorlock/>
          </v:line>
        </w:pict>
      </w:r>
    </w:p>
    <w:p>
      <w:pPr>
        <w:pStyle w:val="140"/>
        <w:framePr w:hAnchor="page" w:x="7126" w:y="14101"/>
        <w:rPr>
          <w:color w:val="000000"/>
        </w:rPr>
      </w:pPr>
      <w:r>
        <w:rPr>
          <w:rFonts w:ascii="黑体" w:cs="黑体"/>
          <w:color w:val="000000"/>
        </w:rPr>
        <w:t>20</w:t>
      </w:r>
      <w:r>
        <w:rPr>
          <w:rFonts w:hint="eastAsia" w:ascii="黑体" w:cs="黑体"/>
          <w:color w:val="000000"/>
          <w:lang w:val="en-US" w:eastAsia="zh-CN"/>
        </w:rPr>
        <w:t>24</w:t>
      </w:r>
      <w:r>
        <w:rPr>
          <w:rFonts w:ascii="黑体" w:cs="黑体"/>
          <w:color w:val="000000"/>
        </w:rPr>
        <w:t>-</w:t>
      </w:r>
      <w:r>
        <w:rPr>
          <w:rFonts w:hint="eastAsia" w:ascii="黑体" w:cs="黑体"/>
          <w:color w:val="000000"/>
          <w:lang w:val="en-US" w:eastAsia="zh-CN"/>
        </w:rPr>
        <w:t>**</w:t>
      </w:r>
      <w:r>
        <w:rPr>
          <w:rFonts w:ascii="黑体" w:cs="黑体"/>
          <w:color w:val="000000"/>
        </w:rPr>
        <w:t>-</w:t>
      </w:r>
      <w:r>
        <w:rPr>
          <w:rFonts w:hint="eastAsia" w:ascii="方正黑体_GBK" w:hAnsi="方正黑体_GBK" w:eastAsia="方正黑体_GBK" w:cs="方正黑体_GBK"/>
          <w:color w:val="000000"/>
          <w:sz w:val="28"/>
          <w:szCs w:val="28"/>
          <w:lang w:val="en-US" w:eastAsia="zh-CN"/>
        </w:rPr>
        <w:t>**</w:t>
      </w:r>
      <w:r>
        <w:rPr>
          <w:rFonts w:hint="eastAsia" w:cs="黑体"/>
          <w:color w:val="000000"/>
        </w:rPr>
        <w:t>实施</w:t>
      </w:r>
    </w:p>
    <w:p>
      <w:pPr>
        <w:pStyle w:val="120"/>
        <w:rPr>
          <w:rFonts w:cs="Times New Roman"/>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82"/>
          <w:rFonts w:hint="eastAsia"/>
          <w:color w:val="000000"/>
        </w:rPr>
        <w:t>发布</w:t>
      </w:r>
    </w:p>
    <w:p>
      <w:pPr>
        <w:pStyle w:val="23"/>
        <w:rPr>
          <w:rFonts w:cs="Times New Roman"/>
          <w:color w:val="000000"/>
        </w:rPr>
        <w:sectPr>
          <w:pgSz w:w="11906" w:h="16838"/>
          <w:pgMar w:top="567" w:right="850" w:bottom="1134" w:left="1418" w:header="0" w:footer="0" w:gutter="0"/>
          <w:pgNumType w:start="1"/>
          <w:cols w:space="425" w:num="1"/>
          <w:docGrid w:type="lines" w:linePitch="312" w:charSpace="0"/>
        </w:sectPr>
      </w:pPr>
      <w:r>
        <w:pict>
          <v:line id="直线 7" o:spid="_x0000_s1027" o:spt="20" style="position:absolute;left:0pt;margin-left:-0.05pt;margin-top:184.25pt;height:0pt;width:481.9pt;z-index:251656192;mso-width-relative:page;mso-height-relative:page;"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QkHiX9cAAAAJAQAADwAAAAAAAAABACAAAAAiAAAAZHJz&#10;L2Rvd25yZXYueG1sUEsBAhQAFAAAAAgAh07iQGaleVDMAQAAjQMAAA4AAAAAAAAAAQAgAAAAJgEA&#10;AGRycy9lMm9Eb2MueG1sUEsFBgAAAAAGAAYAWQEAAGQFAAAAAA==&#10;">
            <v:path arrowok="t"/>
            <v:fill focussize="0,0"/>
            <v:stroke/>
            <v:imagedata o:title=""/>
            <o:lock v:ext="edit"/>
            <w10:anchorlock/>
          </v:line>
        </w:pict>
      </w:r>
    </w:p>
    <w:p>
      <w:pPr>
        <w:jc w:val="center"/>
        <w:rPr>
          <w:rFonts w:ascii="黑体" w:hAnsi="黑体" w:eastAsia="黑体" w:cs="黑体"/>
          <w:sz w:val="32"/>
          <w:szCs w:val="32"/>
        </w:rPr>
      </w:pPr>
      <w:bookmarkStart w:id="3" w:name="_Toc24755_WPSOffice_Type1"/>
      <w:r>
        <w:rPr>
          <w:rFonts w:hint="eastAsia" w:ascii="黑体" w:hAnsi="黑体" w:eastAsia="黑体" w:cs="黑体"/>
          <w:sz w:val="32"/>
          <w:szCs w:val="32"/>
        </w:rPr>
        <w:t>目  次</w:t>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"_Toc9757_WPSOffice_Level1" </w:instrText>
      </w:r>
      <w:r>
        <w:fldChar w:fldCharType="separate"/>
      </w:r>
      <w:r>
        <w:rPr>
          <w:rFonts w:hint="eastAsia" w:asciiTheme="minorEastAsia" w:hAnsiTheme="minorEastAsia" w:eastAsiaTheme="minorEastAsia" w:cstheme="minorEastAsia"/>
          <w:sz w:val="21"/>
          <w:szCs w:val="21"/>
        </w:rPr>
        <w:t>前  言</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t>II</w:t>
      </w:r>
      <w:r>
        <w:rPr>
          <w:rFonts w:hint="eastAsia" w:asciiTheme="minorEastAsia" w:hAnsiTheme="minorEastAsia" w:eastAsiaTheme="minorEastAsia" w:cstheme="minorEastAsia"/>
          <w:sz w:val="21"/>
          <w:szCs w:val="21"/>
        </w:rPr>
        <w:fldChar w:fldCharType="end"/>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"_Toc15432_WPSOffice_Level1" </w:instrText>
      </w:r>
      <w:r>
        <w:fldChar w:fldCharType="separate"/>
      </w:r>
      <w:r>
        <w:rPr>
          <w:rFonts w:hint="eastAsia" w:asciiTheme="minorEastAsia" w:hAnsiTheme="minorEastAsia" w:eastAsiaTheme="minorEastAsia" w:cstheme="minorEastAsia"/>
          <w:sz w:val="21"/>
          <w:szCs w:val="21"/>
        </w:rPr>
        <w:t>1 范围</w:t>
      </w:r>
      <w:r>
        <w:rPr>
          <w:rFonts w:hint="eastAsia" w:asciiTheme="minorEastAsia" w:hAnsiTheme="minorEastAsia" w:eastAsiaTheme="minorEastAsia" w:cstheme="minorEastAsia"/>
          <w:sz w:val="21"/>
          <w:szCs w:val="21"/>
        </w:rPr>
        <w:tab/>
      </w:r>
      <w:bookmarkStart w:id="4" w:name="_Toc15432_WPSOffice_Level1Page"/>
      <w:r>
        <w:rPr>
          <w:rFonts w:hint="eastAsia" w:asciiTheme="minorEastAsia" w:hAnsiTheme="minorEastAsia" w:eastAsiaTheme="minorEastAsia" w:cstheme="minorEastAsia"/>
          <w:sz w:val="21"/>
          <w:szCs w:val="21"/>
        </w:rPr>
        <w:t>1</w:t>
      </w:r>
      <w:bookmarkEnd w:id="4"/>
      <w:r>
        <w:rPr>
          <w:rFonts w:hint="eastAsia" w:asciiTheme="minorEastAsia" w:hAnsiTheme="minorEastAsia" w:eastAsiaTheme="minorEastAsia" w:cstheme="minorEastAsia"/>
          <w:sz w:val="21"/>
          <w:szCs w:val="21"/>
        </w:rPr>
        <w:fldChar w:fldCharType="end"/>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"_Toc10432_WPSOffice_Level1" </w:instrText>
      </w:r>
      <w:r>
        <w:fldChar w:fldCharType="separate"/>
      </w:r>
      <w:r>
        <w:rPr>
          <w:rFonts w:hint="eastAsia" w:asciiTheme="minorEastAsia" w:hAnsiTheme="minorEastAsia" w:eastAsiaTheme="minorEastAsia" w:cstheme="minorEastAsia"/>
          <w:sz w:val="21"/>
          <w:szCs w:val="21"/>
        </w:rPr>
        <w:t>2 规范性引用文件</w:t>
      </w:r>
      <w:r>
        <w:rPr>
          <w:rFonts w:hint="eastAsia" w:asciiTheme="minorEastAsia" w:hAnsiTheme="minorEastAsia" w:eastAsiaTheme="minorEastAsia" w:cstheme="minorEastAsia"/>
          <w:sz w:val="21"/>
          <w:szCs w:val="21"/>
        </w:rPr>
        <w:tab/>
      </w:r>
      <w:bookmarkStart w:id="5" w:name="_Toc10432_WPSOffice_Level1Page"/>
      <w:r>
        <w:rPr>
          <w:rFonts w:hint="eastAsia" w:asciiTheme="minorEastAsia" w:hAnsiTheme="minorEastAsia" w:eastAsiaTheme="minorEastAsia" w:cstheme="minorEastAsia"/>
          <w:sz w:val="21"/>
          <w:szCs w:val="21"/>
        </w:rPr>
        <w:t>1</w:t>
      </w:r>
      <w:bookmarkEnd w:id="5"/>
      <w:r>
        <w:rPr>
          <w:rFonts w:hint="eastAsia" w:asciiTheme="minorEastAsia" w:hAnsiTheme="minorEastAsia" w:eastAsiaTheme="minorEastAsia" w:cstheme="minorEastAsia"/>
          <w:sz w:val="21"/>
          <w:szCs w:val="21"/>
        </w:rPr>
        <w:fldChar w:fldCharType="end"/>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"_Toc16876_WPSOffice_Level1" </w:instrText>
      </w:r>
      <w:r>
        <w:fldChar w:fldCharType="separate"/>
      </w:r>
      <w:r>
        <w:rPr>
          <w:rFonts w:hint="eastAsia" w:asciiTheme="minorEastAsia" w:hAnsiTheme="minorEastAsia" w:eastAsiaTheme="minorEastAsia" w:cstheme="minorEastAsia"/>
          <w:sz w:val="21"/>
          <w:szCs w:val="21"/>
        </w:rPr>
        <w:t>3 术语和定义</w:t>
      </w:r>
      <w:r>
        <w:rPr>
          <w:rFonts w:hint="eastAsia" w:asciiTheme="minorEastAsia" w:hAnsiTheme="minorEastAsia" w:eastAsiaTheme="minorEastAsia" w:cstheme="minorEastAsia"/>
          <w:sz w:val="21"/>
          <w:szCs w:val="21"/>
        </w:rPr>
        <w:tab/>
      </w:r>
      <w:bookmarkStart w:id="6" w:name="_Toc16876_WPSOffice_Level1Page"/>
      <w:r>
        <w:rPr>
          <w:rFonts w:hint="eastAsia" w:asciiTheme="minorEastAsia" w:hAnsiTheme="minorEastAsia" w:eastAsiaTheme="minorEastAsia" w:cstheme="minorEastAsia"/>
          <w:sz w:val="21"/>
          <w:szCs w:val="21"/>
        </w:rPr>
        <w:t>1</w:t>
      </w:r>
      <w:bookmarkEnd w:id="6"/>
      <w:r>
        <w:rPr>
          <w:rFonts w:hint="eastAsia" w:asciiTheme="minorEastAsia" w:hAnsiTheme="minorEastAsia" w:eastAsiaTheme="minorEastAsia" w:cstheme="minorEastAsia"/>
          <w:sz w:val="21"/>
          <w:szCs w:val="21"/>
        </w:rPr>
        <w:fldChar w:fldCharType="end"/>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"_Toc11555_WPSOffice_Level1" </w:instrText>
      </w:r>
      <w:r>
        <w:fldChar w:fldCharType="separate"/>
      </w:r>
      <w:r>
        <w:rPr>
          <w:rFonts w:hint="eastAsia" w:asciiTheme="minorEastAsia" w:hAnsiTheme="minorEastAsia" w:eastAsiaTheme="minorEastAsia" w:cstheme="minorEastAsia"/>
          <w:sz w:val="21"/>
          <w:szCs w:val="21"/>
        </w:rPr>
        <w:t>4 总则</w:t>
      </w:r>
      <w:r>
        <w:rPr>
          <w:rFonts w:hint="eastAsia" w:asciiTheme="minorEastAsia" w:hAnsiTheme="minorEastAsia" w:eastAsiaTheme="minorEastAsia" w:cstheme="minorEastAsia"/>
          <w:sz w:val="21"/>
          <w:szCs w:val="21"/>
        </w:rPr>
        <w:tab/>
      </w:r>
      <w:bookmarkStart w:id="7" w:name="_Toc11555_WPSOffice_Level1Page"/>
      <w:r>
        <w:rPr>
          <w:rFonts w:hint="eastAsia" w:asciiTheme="minorEastAsia" w:hAnsiTheme="minorEastAsia" w:eastAsiaTheme="minorEastAsia" w:cstheme="minorEastAsia"/>
          <w:sz w:val="21"/>
          <w:szCs w:val="21"/>
        </w:rPr>
        <w:t>1</w:t>
      </w:r>
      <w:bookmarkEnd w:id="7"/>
      <w:r>
        <w:rPr>
          <w:rFonts w:hint="eastAsia" w:asciiTheme="minorEastAsia" w:hAnsiTheme="minorEastAsia" w:eastAsiaTheme="minorEastAsia" w:cstheme="minorEastAsia"/>
          <w:sz w:val="21"/>
          <w:szCs w:val="21"/>
        </w:rPr>
        <w:fldChar w:fldCharType="end"/>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"_Toc4094_WPSOffice_Level1" </w:instrText>
      </w:r>
      <w:r>
        <w:fldChar w:fldCharType="separate"/>
      </w:r>
      <w:r>
        <w:rPr>
          <w:rFonts w:hint="eastAsia" w:asciiTheme="minorEastAsia" w:hAnsiTheme="minorEastAsia" w:eastAsiaTheme="minorEastAsia" w:cstheme="minorEastAsia"/>
          <w:sz w:val="21"/>
          <w:szCs w:val="21"/>
        </w:rPr>
        <w:t>5 基本要求</w:t>
      </w:r>
      <w:r>
        <w:rPr>
          <w:rFonts w:hint="eastAsia" w:asciiTheme="minorEastAsia" w:hAnsiTheme="minorEastAsia" w:eastAsiaTheme="minorEastAsia" w:cstheme="minorEastAsia"/>
          <w:sz w:val="21"/>
          <w:szCs w:val="21"/>
        </w:rPr>
        <w:tab/>
      </w:r>
      <w:bookmarkStart w:id="8" w:name="_Toc4094_WPSOffice_Level1Page"/>
      <w:r>
        <w:rPr>
          <w:rFonts w:hint="eastAsia" w:asciiTheme="minorEastAsia" w:hAnsiTheme="minorEastAsia" w:eastAsiaTheme="minorEastAsia" w:cstheme="minorEastAsia"/>
          <w:sz w:val="21"/>
          <w:szCs w:val="21"/>
        </w:rPr>
        <w:t>1</w:t>
      </w:r>
      <w:bookmarkEnd w:id="8"/>
      <w:r>
        <w:rPr>
          <w:rFonts w:hint="eastAsia" w:asciiTheme="minorEastAsia" w:hAnsiTheme="minorEastAsia" w:eastAsiaTheme="minorEastAsia" w:cstheme="minorEastAsia"/>
          <w:sz w:val="21"/>
          <w:szCs w:val="21"/>
        </w:rPr>
        <w:fldChar w:fldCharType="end"/>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"_Toc24539_WPSOffice_Level1" </w:instrText>
      </w:r>
      <w:r>
        <w:fldChar w:fldCharType="separate"/>
      </w:r>
      <w:r>
        <w:rPr>
          <w:rFonts w:hint="eastAsia" w:asciiTheme="minorEastAsia" w:hAnsiTheme="minorEastAsia" w:eastAsiaTheme="minorEastAsia" w:cstheme="minorEastAsia"/>
          <w:sz w:val="21"/>
          <w:szCs w:val="21"/>
        </w:rPr>
        <w:t>6 结构布局与功能分区</w:t>
      </w:r>
      <w:r>
        <w:rPr>
          <w:rFonts w:hint="eastAsia" w:asciiTheme="minorEastAsia" w:hAnsiTheme="minorEastAsia" w:eastAsiaTheme="minorEastAsia" w:cstheme="minorEastAsia"/>
          <w:sz w:val="21"/>
          <w:szCs w:val="21"/>
        </w:rPr>
        <w:tab/>
      </w:r>
      <w:bookmarkStart w:id="9" w:name="_Toc24539_WPSOffice_Level1Page"/>
      <w:r>
        <w:rPr>
          <w:rFonts w:hint="eastAsia" w:asciiTheme="minorEastAsia" w:hAnsiTheme="minorEastAsia" w:eastAsiaTheme="minorEastAsia" w:cstheme="minorEastAsia"/>
          <w:sz w:val="21"/>
          <w:szCs w:val="21"/>
        </w:rPr>
        <w:t>2</w:t>
      </w:r>
      <w:bookmarkEnd w:id="9"/>
      <w:r>
        <w:rPr>
          <w:rFonts w:hint="eastAsia" w:asciiTheme="minorEastAsia" w:hAnsiTheme="minorEastAsia" w:eastAsiaTheme="minorEastAsia" w:cstheme="minorEastAsia"/>
          <w:sz w:val="21"/>
          <w:szCs w:val="21"/>
        </w:rPr>
        <w:fldChar w:fldCharType="end"/>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"_Toc5417_WPSOffice_Level1" </w:instrText>
      </w:r>
      <w:r>
        <w:fldChar w:fldCharType="separate"/>
      </w:r>
      <w:r>
        <w:rPr>
          <w:rFonts w:hint="eastAsia" w:asciiTheme="minorEastAsia" w:hAnsiTheme="minorEastAsia" w:eastAsiaTheme="minorEastAsia" w:cstheme="minorEastAsia"/>
          <w:sz w:val="21"/>
          <w:szCs w:val="21"/>
        </w:rPr>
        <w:t>7 设施设备</w:t>
      </w:r>
      <w:r>
        <w:rPr>
          <w:rFonts w:hint="eastAsia" w:asciiTheme="minorEastAsia" w:hAnsiTheme="minorEastAsia" w:eastAsiaTheme="minorEastAsia" w:cstheme="minorEastAsia"/>
          <w:sz w:val="21"/>
          <w:szCs w:val="21"/>
        </w:rPr>
        <w:tab/>
      </w:r>
      <w:bookmarkStart w:id="10" w:name="_Toc5417_WPSOffice_Level1Page"/>
      <w:r>
        <w:rPr>
          <w:rFonts w:hint="eastAsia" w:asciiTheme="minorEastAsia" w:hAnsiTheme="minorEastAsia" w:eastAsiaTheme="minorEastAsia" w:cstheme="minorEastAsia"/>
          <w:sz w:val="21"/>
          <w:szCs w:val="21"/>
        </w:rPr>
        <w:t>4</w:t>
      </w:r>
      <w:bookmarkEnd w:id="10"/>
      <w:r>
        <w:rPr>
          <w:rFonts w:hint="eastAsia" w:asciiTheme="minorEastAsia" w:hAnsiTheme="minorEastAsia" w:eastAsiaTheme="minorEastAsia" w:cstheme="minorEastAsia"/>
          <w:sz w:val="21"/>
          <w:szCs w:val="21"/>
        </w:rPr>
        <w:fldChar w:fldCharType="end"/>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"_Toc7163_WPSOffice_Level1" </w:instrText>
      </w:r>
      <w:r>
        <w:fldChar w:fldCharType="separate"/>
      </w:r>
      <w:r>
        <w:rPr>
          <w:rFonts w:hint="eastAsia" w:asciiTheme="minorEastAsia" w:hAnsiTheme="minorEastAsia" w:eastAsiaTheme="minorEastAsia" w:cstheme="minorEastAsia"/>
          <w:sz w:val="21"/>
          <w:szCs w:val="21"/>
        </w:rPr>
        <w:t>8 加工制作</w:t>
      </w:r>
      <w:r>
        <w:rPr>
          <w:rFonts w:hint="eastAsia" w:asciiTheme="minorEastAsia" w:hAnsiTheme="minorEastAsia" w:eastAsiaTheme="minorEastAsia" w:cstheme="minorEastAsia"/>
          <w:sz w:val="21"/>
          <w:szCs w:val="21"/>
        </w:rPr>
        <w:tab/>
      </w:r>
      <w:bookmarkStart w:id="11" w:name="_Toc7163_WPSOffice_Level1Page"/>
      <w:r>
        <w:rPr>
          <w:rFonts w:hint="eastAsia" w:asciiTheme="minorEastAsia" w:hAnsiTheme="minorEastAsia" w:eastAsiaTheme="minorEastAsia" w:cstheme="minorEastAsia"/>
          <w:sz w:val="21"/>
          <w:szCs w:val="21"/>
        </w:rPr>
        <w:t>6</w:t>
      </w:r>
      <w:bookmarkEnd w:id="11"/>
      <w:r>
        <w:rPr>
          <w:rFonts w:hint="eastAsia" w:asciiTheme="minorEastAsia" w:hAnsiTheme="minorEastAsia" w:eastAsiaTheme="minorEastAsia" w:cstheme="minorEastAsia"/>
          <w:sz w:val="21"/>
          <w:szCs w:val="21"/>
        </w:rPr>
        <w:fldChar w:fldCharType="end"/>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"_Toc4866_WPSOffice_Level1" </w:instrText>
      </w:r>
      <w:r>
        <w:fldChar w:fldCharType="separate"/>
      </w:r>
      <w:r>
        <w:rPr>
          <w:rFonts w:hint="eastAsia" w:asciiTheme="minorEastAsia" w:hAnsiTheme="minorEastAsia" w:eastAsiaTheme="minorEastAsia" w:cstheme="minorEastAsia"/>
          <w:sz w:val="21"/>
          <w:szCs w:val="21"/>
        </w:rPr>
        <w:t>9 卫生管理</w:t>
      </w:r>
      <w:r>
        <w:rPr>
          <w:rFonts w:hint="eastAsia" w:asciiTheme="minorEastAsia" w:hAnsiTheme="minorEastAsia" w:eastAsiaTheme="minorEastAsia" w:cstheme="minorEastAsia"/>
          <w:sz w:val="21"/>
          <w:szCs w:val="21"/>
        </w:rPr>
        <w:tab/>
      </w:r>
      <w:bookmarkStart w:id="12" w:name="_Toc4866_WPSOffice_Level1Page"/>
      <w:r>
        <w:rPr>
          <w:rFonts w:hint="eastAsia" w:asciiTheme="minorEastAsia" w:hAnsiTheme="minorEastAsia" w:eastAsiaTheme="minorEastAsia" w:cstheme="minorEastAsia"/>
          <w:sz w:val="21"/>
          <w:szCs w:val="21"/>
        </w:rPr>
        <w:t>8</w:t>
      </w:r>
      <w:bookmarkEnd w:id="12"/>
      <w:r>
        <w:rPr>
          <w:rFonts w:hint="eastAsia" w:asciiTheme="minorEastAsia" w:hAnsiTheme="minorEastAsia" w:eastAsiaTheme="minorEastAsia" w:cstheme="minorEastAsia"/>
          <w:sz w:val="21"/>
          <w:szCs w:val="21"/>
        </w:rPr>
        <w:fldChar w:fldCharType="end"/>
      </w:r>
    </w:p>
    <w:p>
      <w:pPr>
        <w:pStyle w:val="152"/>
        <w:tabs>
          <w:tab w:val="right" w:leader="dot" w:pos="9354"/>
        </w:tabs>
        <w:spacing w:beforeLines="25" w:afterLines="25"/>
        <w:rPr>
          <w:rFonts w:hint="default" w:asciiTheme="minorEastAsia" w:hAnsiTheme="minorEastAsia" w:eastAsiaTheme="minorEastAsia" w:cstheme="minorEastAsia"/>
          <w:sz w:val="21"/>
          <w:szCs w:val="21"/>
          <w:lang w:val="en-US" w:eastAsia="zh-CN"/>
        </w:rPr>
      </w:pPr>
      <w:r>
        <w:fldChar w:fldCharType="begin"/>
      </w:r>
      <w:r>
        <w:instrText xml:space="preserve"> HYPERLINK \l "_Toc4866_WPSOffice_Level1" </w:instrText>
      </w:r>
      <w:r>
        <w:fldChar w:fldCharType="separate"/>
      </w:r>
      <w:r>
        <w:rPr>
          <w:rFonts w:hint="eastAsia" w:asciiTheme="minorEastAsia" w:hAnsiTheme="minorEastAsia" w:eastAsiaTheme="minorEastAsia" w:cstheme="minorEastAsia"/>
          <w:sz w:val="21"/>
          <w:szCs w:val="21"/>
          <w:lang w:val="en-US" w:eastAsia="zh-CN"/>
        </w:rPr>
        <w:t>10</w:t>
      </w:r>
      <w:r>
        <w:rPr>
          <w:rFonts w:hint="eastAsia" w:asciiTheme="minorEastAsia" w:hAnsiTheme="minorEastAsia" w:eastAsiaTheme="minorEastAsia" w:cstheme="minorEastAsia"/>
          <w:sz w:val="21"/>
          <w:szCs w:val="21"/>
          <w:lang w:eastAsia="zh-CN"/>
        </w:rPr>
        <w:t>节约</w:t>
      </w:r>
      <w:r>
        <w:rPr>
          <w:rFonts w:hint="eastAsia" w:asciiTheme="minorEastAsia" w:hAnsiTheme="minorEastAsia" w:eastAsiaTheme="minorEastAsia" w:cstheme="minorEastAsia"/>
          <w:sz w:val="21"/>
          <w:szCs w:val="21"/>
        </w:rPr>
        <w:t>管理</w:t>
      </w:r>
      <w:r>
        <w:rPr>
          <w:rFonts w:hint="eastAsia" w:asciiTheme="minorEastAsia" w:hAnsiTheme="minorEastAsia" w:eastAsiaTheme="minorEastAsia" w:cstheme="minorEastAsia"/>
          <w:sz w:val="21"/>
          <w:szCs w:val="21"/>
        </w:rPr>
        <w:tab/>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val="en-US" w:eastAsia="zh-CN"/>
        </w:rPr>
        <w:t>10</w:t>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"_Toc19561_WPSOffice_Level1" </w:instrText>
      </w:r>
      <w: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t xml:space="preserve"> 食品安全自查</w:t>
      </w:r>
      <w:r>
        <w:rPr>
          <w:rFonts w:hint="eastAsia" w:asciiTheme="minorEastAsia" w:hAnsiTheme="minorEastAsia" w:eastAsiaTheme="minorEastAsia" w:cstheme="minorEastAsia"/>
          <w:sz w:val="21"/>
          <w:szCs w:val="21"/>
        </w:rPr>
        <w:tab/>
      </w:r>
      <w:bookmarkStart w:id="13" w:name="_Toc19561_WPSOffice_Level1Page"/>
      <w:r>
        <w:rPr>
          <w:rFonts w:hint="eastAsia" w:asciiTheme="minorEastAsia" w:hAnsiTheme="minorEastAsia" w:eastAsiaTheme="minorEastAsia" w:cstheme="minorEastAsia"/>
          <w:sz w:val="21"/>
          <w:szCs w:val="21"/>
        </w:rPr>
        <w:t>10</w:t>
      </w:r>
      <w:bookmarkEnd w:id="13"/>
      <w:r>
        <w:rPr>
          <w:rFonts w:hint="eastAsia" w:asciiTheme="minorEastAsia" w:hAnsiTheme="minorEastAsia" w:eastAsiaTheme="minorEastAsia" w:cstheme="minorEastAsia"/>
          <w:sz w:val="21"/>
          <w:szCs w:val="21"/>
        </w:rPr>
        <w:fldChar w:fldCharType="end"/>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"_Toc17582_WPSOffice_Level1" </w:instrText>
      </w:r>
      <w: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2</w:t>
      </w:r>
      <w:r>
        <w:rPr>
          <w:rFonts w:hint="eastAsia" w:asciiTheme="minorEastAsia" w:hAnsiTheme="minorEastAsia" w:eastAsiaTheme="minorEastAsia" w:cstheme="minorEastAsia"/>
          <w:sz w:val="21"/>
          <w:szCs w:val="21"/>
        </w:rPr>
        <w:t xml:space="preserve"> 应急处置</w:t>
      </w:r>
      <w:r>
        <w:rPr>
          <w:rFonts w:hint="eastAsia" w:asciiTheme="minorEastAsia" w:hAnsiTheme="minorEastAsia" w:eastAsiaTheme="minorEastAsia" w:cstheme="minorEastAsia"/>
          <w:sz w:val="21"/>
          <w:szCs w:val="21"/>
        </w:rPr>
        <w:tab/>
      </w:r>
      <w:bookmarkStart w:id="14" w:name="_Toc17582_WPSOffice_Level1Page"/>
      <w:r>
        <w:rPr>
          <w:rFonts w:hint="eastAsia" w:asciiTheme="minorEastAsia" w:hAnsiTheme="minorEastAsia" w:eastAsiaTheme="minorEastAsia" w:cstheme="minorEastAsia"/>
          <w:sz w:val="21"/>
          <w:szCs w:val="21"/>
        </w:rPr>
        <w:t>10</w:t>
      </w:r>
      <w:bookmarkEnd w:id="14"/>
      <w:r>
        <w:rPr>
          <w:rFonts w:hint="eastAsia" w:asciiTheme="minorEastAsia" w:hAnsiTheme="minorEastAsia" w:eastAsiaTheme="minorEastAsia" w:cstheme="minorEastAsia"/>
          <w:sz w:val="21"/>
          <w:szCs w:val="21"/>
        </w:rPr>
        <w:fldChar w:fldCharType="end"/>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"_Toc31034_WPSOffice_Level1" </w:instrText>
      </w:r>
      <w: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 xml:space="preserve"> 投诉处理</w:t>
      </w:r>
      <w:r>
        <w:rPr>
          <w:rFonts w:hint="eastAsia" w:asciiTheme="minorEastAsia" w:hAnsiTheme="minorEastAsia" w:eastAsiaTheme="minorEastAsia" w:cstheme="minorEastAsia"/>
          <w:sz w:val="21"/>
          <w:szCs w:val="21"/>
        </w:rPr>
        <w:tab/>
      </w:r>
      <w:bookmarkStart w:id="15" w:name="_Toc31034_WPSOffice_Level1Page"/>
      <w:r>
        <w:rPr>
          <w:rFonts w:hint="eastAsia" w:asciiTheme="minorEastAsia" w:hAnsiTheme="minorEastAsia" w:eastAsiaTheme="minorEastAsia" w:cstheme="minorEastAsia"/>
          <w:sz w:val="21"/>
          <w:szCs w:val="21"/>
        </w:rPr>
        <w:t>1</w:t>
      </w:r>
      <w:bookmarkEnd w:id="15"/>
      <w:r>
        <w:rPr>
          <w:rFonts w:hint="eastAsia" w:asciiTheme="minorEastAsia" w:hAnsiTheme="minorEastAsia" w:eastAsiaTheme="minorEastAsia" w:cstheme="minorEastAsia"/>
          <w:sz w:val="21"/>
          <w:szCs w:val="21"/>
          <w:lang w:val="en-US" w:eastAsia="zh-CN"/>
        </w:rPr>
        <w:t>1</w:t>
      </w:r>
      <w:r>
        <w:rPr>
          <w:rFonts w:hint="eastAsia" w:asciiTheme="minorEastAsia" w:hAnsiTheme="minorEastAsia" w:eastAsiaTheme="minorEastAsia" w:cstheme="minorEastAsia"/>
          <w:sz w:val="21"/>
          <w:szCs w:val="21"/>
        </w:rPr>
        <w:fldChar w:fldCharType="end"/>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"_Toc12560_WPSOffice_Level1" </w:instrText>
      </w:r>
      <w:r>
        <w:fldChar w:fldCharType="separate"/>
      </w:r>
      <w:r>
        <w:rPr>
          <w:rFonts w:hint="eastAsia" w:asciiTheme="minorEastAsia" w:hAnsiTheme="minorEastAsia" w:eastAsiaTheme="minorEastAsia" w:cstheme="minorEastAsia"/>
          <w:sz w:val="21"/>
          <w:szCs w:val="21"/>
        </w:rPr>
        <w:t>1</w:t>
      </w: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 xml:space="preserve"> 文件记录</w:t>
      </w:r>
      <w:r>
        <w:rPr>
          <w:rFonts w:hint="eastAsia" w:asciiTheme="minorEastAsia" w:hAnsiTheme="minorEastAsia" w:eastAsiaTheme="minorEastAsia" w:cstheme="minorEastAsia"/>
          <w:sz w:val="21"/>
          <w:szCs w:val="21"/>
        </w:rPr>
        <w:tab/>
      </w:r>
      <w:bookmarkStart w:id="16" w:name="_Toc12560_WPSOffice_Level1Page"/>
      <w:r>
        <w:rPr>
          <w:rFonts w:hint="eastAsia" w:asciiTheme="minorEastAsia" w:hAnsiTheme="minorEastAsia" w:eastAsiaTheme="minorEastAsia" w:cstheme="minorEastAsia"/>
          <w:sz w:val="21"/>
          <w:szCs w:val="21"/>
        </w:rPr>
        <w:t>11</w:t>
      </w:r>
      <w:bookmarkEnd w:id="16"/>
      <w:r>
        <w:rPr>
          <w:rFonts w:hint="eastAsia" w:asciiTheme="minorEastAsia" w:hAnsiTheme="minorEastAsia" w:eastAsiaTheme="minorEastAsia" w:cstheme="minorEastAsia"/>
          <w:sz w:val="21"/>
          <w:szCs w:val="21"/>
        </w:rPr>
        <w:fldChar w:fldCharType="end"/>
      </w:r>
    </w:p>
    <w:p>
      <w:pPr>
        <w:pStyle w:val="152"/>
        <w:tabs>
          <w:tab w:val="right" w:leader="dot" w:pos="9354"/>
        </w:tabs>
        <w:spacing w:beforeLines="25" w:afterLines="25"/>
        <w:rPr>
          <w:rFonts w:asciiTheme="minorEastAsia" w:hAnsiTheme="minorEastAsia" w:eastAsiaTheme="minorEastAsia" w:cstheme="minorEastAsia"/>
          <w:sz w:val="21"/>
          <w:szCs w:val="21"/>
        </w:rPr>
      </w:pPr>
      <w:r>
        <w:fldChar w:fldCharType="begin"/>
      </w:r>
      <w:r>
        <w:instrText xml:space="preserve"> HYPERLINK \l "_Toc9553_WPSOffice_Level1" </w:instrText>
      </w:r>
      <w:r>
        <w:fldChar w:fldCharType="separate"/>
      </w:r>
      <w:r>
        <w:rPr>
          <w:rFonts w:hint="eastAsia" w:asciiTheme="minorEastAsia" w:hAnsiTheme="minorEastAsia" w:eastAsiaTheme="minorEastAsia" w:cstheme="minorEastAsia"/>
          <w:sz w:val="21"/>
          <w:szCs w:val="21"/>
        </w:rPr>
        <w:t>参 考 文 献</w:t>
      </w:r>
      <w:r>
        <w:rPr>
          <w:rFonts w:hint="eastAsia" w:asciiTheme="minorEastAsia" w:hAnsiTheme="minorEastAsia" w:eastAsiaTheme="minorEastAsia" w:cstheme="minorEastAsia"/>
          <w:sz w:val="21"/>
          <w:szCs w:val="21"/>
        </w:rPr>
        <w:tab/>
      </w:r>
      <w:bookmarkStart w:id="17" w:name="_Toc9553_WPSOffice_Level1Page"/>
      <w:r>
        <w:rPr>
          <w:rFonts w:hint="eastAsia" w:asciiTheme="minorEastAsia" w:hAnsiTheme="minorEastAsia" w:eastAsiaTheme="minorEastAsia" w:cstheme="minorEastAsia"/>
          <w:sz w:val="21"/>
          <w:szCs w:val="21"/>
        </w:rPr>
        <w:t>12</w:t>
      </w:r>
      <w:bookmarkEnd w:id="17"/>
      <w:r>
        <w:rPr>
          <w:rFonts w:hint="eastAsia" w:asciiTheme="minorEastAsia" w:hAnsiTheme="minorEastAsia" w:eastAsiaTheme="minorEastAsia" w:cstheme="minorEastAsia"/>
          <w:sz w:val="21"/>
          <w:szCs w:val="21"/>
        </w:rPr>
        <w:fldChar w:fldCharType="end"/>
      </w:r>
      <w:bookmarkEnd w:id="3"/>
    </w:p>
    <w:p>
      <w:pPr>
        <w:pStyle w:val="121"/>
        <w:spacing w:beforeLines="25" w:afterLines="25"/>
        <w:rPr>
          <w:rFonts w:asciiTheme="minorEastAsia" w:hAnsiTheme="minorEastAsia" w:eastAsiaTheme="minorEastAsia" w:cstheme="minorEastAsia"/>
          <w:color w:val="000000"/>
          <w:sz w:val="21"/>
          <w:szCs w:val="21"/>
        </w:rPr>
        <w:sectPr>
          <w:headerReference r:id="rId3" w:type="default"/>
          <w:footerReference r:id="rId4" w:type="default"/>
          <w:pgSz w:w="11906" w:h="16838"/>
          <w:pgMar w:top="567" w:right="1134" w:bottom="1134" w:left="1418" w:header="1418" w:footer="1134" w:gutter="0"/>
          <w:pgNumType w:start="1"/>
          <w:cols w:space="425" w:num="1"/>
          <w:formProt w:val="0"/>
          <w:docGrid w:type="lines" w:linePitch="312" w:charSpace="0"/>
        </w:sectPr>
      </w:pPr>
    </w:p>
    <w:p>
      <w:pPr>
        <w:pStyle w:val="121"/>
        <w:rPr>
          <w:rFonts w:cs="Times New Roman"/>
          <w:color w:val="000000"/>
        </w:rPr>
      </w:pPr>
      <w:bookmarkStart w:id="18" w:name="_Toc9757_WPSOffice_Level1"/>
      <w:r>
        <w:rPr>
          <w:rFonts w:hint="eastAsia"/>
          <w:color w:val="000000"/>
        </w:rPr>
        <w:t>前</w:t>
      </w:r>
      <w:r>
        <w:rPr>
          <w:rFonts w:ascii="Cambria Math" w:hAnsi="Cambria Math" w:cs="Cambria Math"/>
          <w:color w:val="000000"/>
        </w:rPr>
        <w:t>  </w:t>
      </w:r>
      <w:r>
        <w:rPr>
          <w:rFonts w:hint="eastAsia"/>
          <w:color w:val="000000"/>
        </w:rPr>
        <w:t>言</w:t>
      </w:r>
      <w:bookmarkEnd w:id="18"/>
    </w:p>
    <w:p>
      <w:pPr>
        <w:pStyle w:val="23"/>
        <w:rPr>
          <w:rFonts w:hAnsi="宋体" w:cs="Times New Roman"/>
          <w:color w:val="000000"/>
        </w:rPr>
      </w:pPr>
      <w:r>
        <w:rPr>
          <w:rFonts w:hint="eastAsia" w:hAnsi="宋体"/>
          <w:color w:val="000000"/>
        </w:rPr>
        <w:t>本</w:t>
      </w:r>
      <w:r>
        <w:rPr>
          <w:rFonts w:hint="eastAsia" w:hAnsi="宋体"/>
          <w:color w:val="000000"/>
          <w:lang w:eastAsia="zh-CN"/>
        </w:rPr>
        <w:t>文件</w:t>
      </w:r>
      <w:r>
        <w:rPr>
          <w:rFonts w:hint="eastAsia" w:hAnsi="宋体"/>
          <w:color w:val="000000"/>
        </w:rPr>
        <w:t>按照</w:t>
      </w:r>
      <w:r>
        <w:rPr>
          <w:rFonts w:hAnsi="宋体"/>
          <w:color w:val="000000" w:themeColor="text1"/>
        </w:rPr>
        <w:t xml:space="preserve"> GB/T 1.1-20</w:t>
      </w:r>
      <w:r>
        <w:rPr>
          <w:rFonts w:hint="eastAsia" w:hAnsi="宋体"/>
          <w:color w:val="000000" w:themeColor="text1"/>
        </w:rPr>
        <w:t>20</w:t>
      </w:r>
      <w:r>
        <w:rPr>
          <w:rFonts w:hint="eastAsia"/>
        </w:rPr>
        <w:t>《标准化工作导则  第1部分：标准化文件的结构和起草规则》的规定起草</w:t>
      </w:r>
      <w:r>
        <w:rPr>
          <w:rFonts w:hint="eastAsia" w:hAnsi="宋体"/>
          <w:color w:val="000000"/>
        </w:rPr>
        <w:t>。</w:t>
      </w:r>
    </w:p>
    <w:p>
      <w:pPr>
        <w:pStyle w:val="23"/>
        <w:rPr>
          <w:rFonts w:hint="eastAsia" w:hAnsi="宋体"/>
          <w:color w:val="000000"/>
        </w:rPr>
      </w:pPr>
      <w:r>
        <w:rPr>
          <w:rFonts w:hint="eastAsia" w:hAnsi="宋体"/>
          <w:color w:val="000000"/>
        </w:rPr>
        <w:t>本</w:t>
      </w:r>
      <w:r>
        <w:rPr>
          <w:rFonts w:hint="eastAsia" w:hAnsi="宋体"/>
          <w:color w:val="000000"/>
          <w:lang w:eastAsia="zh-CN"/>
        </w:rPr>
        <w:t>文件</w:t>
      </w:r>
      <w:r>
        <w:rPr>
          <w:rFonts w:hint="eastAsia" w:hAnsi="宋体"/>
          <w:color w:val="000000"/>
        </w:rPr>
        <w:t>由</w:t>
      </w:r>
      <w:r>
        <w:rPr>
          <w:rFonts w:hint="eastAsia"/>
          <w:color w:val="000000"/>
        </w:rPr>
        <w:t>承德市市场监督管理局</w:t>
      </w:r>
      <w:r>
        <w:rPr>
          <w:rFonts w:hint="eastAsia" w:hAnsi="宋体"/>
          <w:color w:val="000000"/>
        </w:rPr>
        <w:t>提出</w:t>
      </w:r>
      <w:r>
        <w:rPr>
          <w:rFonts w:hint="eastAsia" w:hAnsi="宋体"/>
          <w:color w:val="000000"/>
          <w:lang w:eastAsia="zh-CN"/>
        </w:rPr>
        <w:t>并归口</w:t>
      </w:r>
      <w:r>
        <w:rPr>
          <w:rFonts w:hint="eastAsia" w:hAnsi="宋体"/>
          <w:color w:val="000000"/>
        </w:rPr>
        <w:t>。</w:t>
      </w:r>
    </w:p>
    <w:p>
      <w:pPr>
        <w:pStyle w:val="23"/>
        <w:rPr>
          <w:rFonts w:hint="eastAsia" w:hAnsi="宋体"/>
          <w:color w:val="000000"/>
          <w:lang w:val="en-US" w:eastAsia="zh-CN"/>
        </w:rPr>
      </w:pPr>
      <w:r>
        <w:rPr>
          <w:rFonts w:hint="eastAsia" w:hAnsi="宋体"/>
          <w:color w:val="000000"/>
          <w:lang w:eastAsia="zh-CN"/>
        </w:rPr>
        <w:t>本文件代替</w:t>
      </w:r>
      <w:r>
        <w:rPr>
          <w:rFonts w:hint="eastAsia" w:hAnsi="宋体"/>
          <w:color w:val="000000"/>
          <w:lang w:val="en-US" w:eastAsia="zh-CN"/>
        </w:rPr>
        <w:t xml:space="preserve"> DB1308/T 263-2019《中小学校食堂管理规范》，与 DB1308/T 263-2019 相比，除结构调整和编辑性改动外，主要技术变化如下：</w:t>
      </w:r>
    </w:p>
    <w:p>
      <w:pPr>
        <w:pStyle w:val="68"/>
        <w:bidi w:val="0"/>
        <w:rPr>
          <w:rFonts w:hint="default"/>
          <w:lang w:val="en-US" w:eastAsia="zh-CN"/>
        </w:rPr>
      </w:pPr>
      <w:r>
        <w:rPr>
          <w:rFonts w:hint="eastAsia"/>
          <w:lang w:val="en-US" w:eastAsia="zh-CN"/>
        </w:rPr>
        <w:t>更改了“基本要求”一章中“证照资质”、“组织管理”、“人员管理”、“制度建设”相关内容（见5.1、5.2.3、5.3.4、5.4.1、5.4.4）;</w:t>
      </w:r>
    </w:p>
    <w:p>
      <w:pPr>
        <w:pStyle w:val="68"/>
        <w:bidi w:val="0"/>
        <w:rPr>
          <w:rFonts w:hint="default"/>
          <w:lang w:val="en-US" w:eastAsia="zh-CN"/>
        </w:rPr>
      </w:pPr>
      <w:r>
        <w:rPr>
          <w:rFonts w:hint="eastAsia"/>
          <w:lang w:val="en-US" w:eastAsia="zh-CN"/>
        </w:rPr>
        <w:t>更改了“</w:t>
      </w:r>
      <w:r>
        <w:rPr>
          <w:rFonts w:hint="eastAsia"/>
        </w:rPr>
        <w:t>结构布局与功能分区</w:t>
      </w:r>
      <w:r>
        <w:rPr>
          <w:rFonts w:hint="eastAsia"/>
          <w:lang w:val="en-US" w:eastAsia="zh-CN"/>
        </w:rPr>
        <w:t>”一章中“选址”、“结构”相关内容（见6.1、6.4.1.1）;</w:t>
      </w:r>
    </w:p>
    <w:p>
      <w:pPr>
        <w:pStyle w:val="68"/>
        <w:bidi w:val="0"/>
        <w:rPr>
          <w:rFonts w:hint="default"/>
          <w:lang w:val="en-US" w:eastAsia="zh-CN"/>
        </w:rPr>
      </w:pPr>
      <w:r>
        <w:rPr>
          <w:rFonts w:hint="eastAsia"/>
          <w:lang w:val="en-US" w:eastAsia="zh-CN"/>
        </w:rPr>
        <w:t>更改了“</w:t>
      </w:r>
      <w:r>
        <w:rPr>
          <w:rFonts w:hint="eastAsia"/>
        </w:rPr>
        <w:t>设施设备</w:t>
      </w:r>
      <w:r>
        <w:rPr>
          <w:rFonts w:hint="eastAsia"/>
          <w:lang w:val="en-US" w:eastAsia="zh-CN"/>
        </w:rPr>
        <w:t>”一章中“</w:t>
      </w:r>
      <w:r>
        <w:rPr>
          <w:rFonts w:hint="eastAsia"/>
        </w:rPr>
        <w:t>洗手设施</w:t>
      </w:r>
      <w:r>
        <w:rPr>
          <w:rFonts w:hint="eastAsia"/>
          <w:lang w:val="en-US" w:eastAsia="zh-CN"/>
        </w:rPr>
        <w:t>”、“</w:t>
      </w:r>
      <w:r>
        <w:rPr>
          <w:rFonts w:hint="eastAsia"/>
        </w:rPr>
        <w:t>就餐场所</w:t>
      </w:r>
      <w:r>
        <w:rPr>
          <w:rFonts w:hint="eastAsia"/>
          <w:lang w:val="en-US" w:eastAsia="zh-CN"/>
        </w:rPr>
        <w:t>”、“</w:t>
      </w:r>
      <w:r>
        <w:rPr>
          <w:rFonts w:hint="eastAsia"/>
        </w:rPr>
        <w:t>卫生间</w:t>
      </w:r>
      <w:r>
        <w:rPr>
          <w:rFonts w:hint="eastAsia"/>
          <w:lang w:val="en-US" w:eastAsia="zh-CN"/>
        </w:rPr>
        <w:t>”、“</w:t>
      </w:r>
      <w:r>
        <w:rPr>
          <w:rFonts w:hint="eastAsia"/>
        </w:rPr>
        <w:t>工作服</w:t>
      </w:r>
      <w:r>
        <w:rPr>
          <w:rFonts w:hint="eastAsia"/>
          <w:lang w:val="en-US" w:eastAsia="zh-CN"/>
        </w:rPr>
        <w:t>”、“</w:t>
      </w:r>
      <w:r>
        <w:rPr>
          <w:rFonts w:hint="eastAsia"/>
        </w:rPr>
        <w:t>供水排水设施</w:t>
      </w:r>
      <w:r>
        <w:rPr>
          <w:rFonts w:hint="eastAsia"/>
          <w:lang w:val="en-US" w:eastAsia="zh-CN"/>
        </w:rPr>
        <w:t>”、“</w:t>
      </w:r>
      <w:r>
        <w:rPr>
          <w:rFonts w:hint="eastAsia"/>
        </w:rPr>
        <w:t>通风排烟设施</w:t>
      </w:r>
      <w:r>
        <w:rPr>
          <w:rFonts w:hint="eastAsia"/>
          <w:lang w:val="en-US" w:eastAsia="zh-CN"/>
        </w:rPr>
        <w:t>”、“</w:t>
      </w:r>
      <w:r>
        <w:rPr>
          <w:rFonts w:hint="eastAsia"/>
        </w:rPr>
        <w:t>照明设施</w:t>
      </w:r>
      <w:r>
        <w:rPr>
          <w:rFonts w:hint="eastAsia"/>
          <w:lang w:val="en-US" w:eastAsia="zh-CN"/>
        </w:rPr>
        <w:t>”相关内容（见7.1.2、7.2.1.2、7.2.2、7.3、7.4、7.5、7.6.1）；</w:t>
      </w:r>
    </w:p>
    <w:p>
      <w:pPr>
        <w:pStyle w:val="68"/>
        <w:bidi w:val="0"/>
        <w:rPr>
          <w:rFonts w:hint="default"/>
          <w:lang w:val="en-US" w:eastAsia="zh-CN"/>
        </w:rPr>
      </w:pPr>
      <w:r>
        <w:rPr>
          <w:rFonts w:hint="eastAsia"/>
          <w:lang w:val="en-US" w:eastAsia="zh-CN"/>
        </w:rPr>
        <w:t>更改了“</w:t>
      </w:r>
      <w:r>
        <w:rPr>
          <w:rFonts w:hint="eastAsia"/>
        </w:rPr>
        <w:t>加工制作</w:t>
      </w:r>
      <w:r>
        <w:rPr>
          <w:rFonts w:hint="eastAsia"/>
          <w:lang w:val="en-US" w:eastAsia="zh-CN"/>
        </w:rPr>
        <w:t>”一章中“</w:t>
      </w:r>
      <w:r>
        <w:rPr>
          <w:rFonts w:hint="eastAsia"/>
        </w:rPr>
        <w:t>食品原材料采购、贮存</w:t>
      </w:r>
      <w:r>
        <w:rPr>
          <w:rFonts w:hint="eastAsia"/>
          <w:lang w:val="en-US" w:eastAsia="zh-CN"/>
        </w:rPr>
        <w:t>”、“</w:t>
      </w:r>
      <w:r>
        <w:rPr>
          <w:rFonts w:hint="eastAsia"/>
        </w:rPr>
        <w:t>粗加工与切配</w:t>
      </w:r>
      <w:r>
        <w:rPr>
          <w:rFonts w:hint="eastAsia"/>
          <w:lang w:val="en-US" w:eastAsia="zh-CN"/>
        </w:rPr>
        <w:t>”、“</w:t>
      </w:r>
      <w:r>
        <w:rPr>
          <w:rFonts w:hint="eastAsia"/>
        </w:rPr>
        <w:t>留样</w:t>
      </w:r>
      <w:r>
        <w:rPr>
          <w:rFonts w:hint="eastAsia"/>
          <w:lang w:val="en-US" w:eastAsia="zh-CN"/>
        </w:rPr>
        <w:t>”相关内容（见8.1.2、8.1.3、8.1.4、8.1.5、8.1.6、8.1.7、8.3.5、8.7）；</w:t>
      </w:r>
    </w:p>
    <w:p>
      <w:pPr>
        <w:pStyle w:val="68"/>
        <w:bidi w:val="0"/>
        <w:rPr>
          <w:rFonts w:hint="default"/>
          <w:lang w:val="en-US" w:eastAsia="zh-CN"/>
        </w:rPr>
      </w:pPr>
      <w:r>
        <w:rPr>
          <w:rFonts w:hint="eastAsia"/>
          <w:lang w:val="en-US" w:eastAsia="zh-CN"/>
        </w:rPr>
        <w:t>更改了“</w:t>
      </w:r>
      <w:r>
        <w:rPr>
          <w:rFonts w:hint="eastAsia"/>
        </w:rPr>
        <w:t>卫生管理</w:t>
      </w:r>
      <w:r>
        <w:rPr>
          <w:rFonts w:hint="eastAsia"/>
          <w:lang w:val="en-US" w:eastAsia="zh-CN"/>
        </w:rPr>
        <w:t>”一章中“</w:t>
      </w:r>
      <w:r>
        <w:rPr>
          <w:rFonts w:hint="eastAsia"/>
        </w:rPr>
        <w:t>餐用具清洗消毒与保洁</w:t>
      </w:r>
      <w:r>
        <w:rPr>
          <w:rFonts w:hint="eastAsia"/>
          <w:lang w:val="en-US" w:eastAsia="zh-CN"/>
        </w:rPr>
        <w:t>”、“</w:t>
      </w:r>
      <w:r>
        <w:rPr>
          <w:rFonts w:hint="eastAsia"/>
        </w:rPr>
        <w:t>有害生物防制</w:t>
      </w:r>
      <w:r>
        <w:rPr>
          <w:rFonts w:hint="eastAsia"/>
          <w:lang w:val="en-US" w:eastAsia="zh-CN"/>
        </w:rPr>
        <w:t>”相关内容（见9.2.1、9.4.2.3）;</w:t>
      </w:r>
    </w:p>
    <w:p>
      <w:pPr>
        <w:pStyle w:val="68"/>
        <w:bidi w:val="0"/>
        <w:rPr>
          <w:rFonts w:hint="default"/>
          <w:lang w:val="en-US" w:eastAsia="zh-CN"/>
        </w:rPr>
      </w:pPr>
      <w:r>
        <w:rPr>
          <w:rFonts w:hint="eastAsia"/>
          <w:lang w:val="en-US" w:eastAsia="zh-CN"/>
        </w:rPr>
        <w:t>更改了“</w:t>
      </w:r>
      <w:r>
        <w:rPr>
          <w:rFonts w:hint="eastAsia"/>
        </w:rPr>
        <w:t>食品安全自查</w:t>
      </w:r>
      <w:r>
        <w:rPr>
          <w:rFonts w:hint="eastAsia"/>
          <w:lang w:val="en-US" w:eastAsia="zh-CN"/>
        </w:rPr>
        <w:t>”一章中相关内容（见10.4）。</w:t>
      </w:r>
    </w:p>
    <w:p>
      <w:pPr>
        <w:pStyle w:val="23"/>
        <w:rPr>
          <w:rFonts w:cs="Times New Roman"/>
          <w:color w:val="000000"/>
        </w:rPr>
      </w:pPr>
      <w:r>
        <w:rPr>
          <w:rFonts w:hint="eastAsia" w:hAnsi="宋体"/>
          <w:color w:val="000000"/>
        </w:rPr>
        <w:t>本</w:t>
      </w:r>
      <w:r>
        <w:rPr>
          <w:rFonts w:hint="eastAsia" w:hAnsi="宋体"/>
          <w:color w:val="000000"/>
          <w:lang w:eastAsia="zh-CN"/>
        </w:rPr>
        <w:t>文件</w:t>
      </w:r>
      <w:r>
        <w:rPr>
          <w:rFonts w:hint="eastAsia" w:hAnsi="宋体"/>
          <w:color w:val="000000"/>
        </w:rPr>
        <w:t>起草单位：</w:t>
      </w:r>
      <w:r>
        <w:rPr>
          <w:rFonts w:hint="eastAsia"/>
        </w:rPr>
        <w:t>承德市市场监督管理局</w:t>
      </w:r>
      <w:r>
        <w:rPr>
          <w:rFonts w:hint="eastAsia" w:hAnsi="宋体"/>
          <w:color w:val="000000"/>
        </w:rPr>
        <w:t>。</w:t>
      </w:r>
    </w:p>
    <w:p>
      <w:pPr>
        <w:pStyle w:val="23"/>
        <w:rPr>
          <w:rFonts w:hint="eastAsia" w:hAnsi="宋体"/>
          <w:color w:val="FF0000"/>
        </w:rPr>
      </w:pPr>
      <w:r>
        <w:rPr>
          <w:rFonts w:hint="eastAsia" w:hAnsi="宋体"/>
          <w:color w:val="000000"/>
        </w:rPr>
        <w:t>本</w:t>
      </w:r>
      <w:r>
        <w:rPr>
          <w:rFonts w:hint="eastAsia" w:hAnsi="宋体"/>
          <w:color w:val="000000"/>
          <w:lang w:eastAsia="zh-CN"/>
        </w:rPr>
        <w:t>文件</w:t>
      </w:r>
      <w:r>
        <w:rPr>
          <w:rFonts w:hint="eastAsia" w:hAnsi="宋体"/>
          <w:color w:val="000000"/>
        </w:rPr>
        <w:t>主要起草人：</w:t>
      </w:r>
      <w:r>
        <w:rPr>
          <w:rFonts w:hint="eastAsia"/>
          <w:color w:val="auto"/>
        </w:rPr>
        <w:t>富煜、范洁美、</w:t>
      </w:r>
      <w:r>
        <w:rPr>
          <w:rFonts w:hint="eastAsia"/>
          <w:color w:val="auto"/>
          <w:lang w:eastAsia="zh-CN"/>
        </w:rPr>
        <w:t>张雨桐、</w:t>
      </w:r>
      <w:r>
        <w:rPr>
          <w:rFonts w:hint="eastAsia"/>
          <w:color w:val="auto"/>
        </w:rPr>
        <w:t>张芸、陈松、王蕊</w:t>
      </w:r>
      <w:r>
        <w:rPr>
          <w:rFonts w:hint="eastAsia"/>
          <w:color w:val="auto"/>
          <w:lang w:eastAsia="zh-CN"/>
        </w:rPr>
        <w:t>、王丹丽、邓然</w:t>
      </w:r>
      <w:r>
        <w:rPr>
          <w:rFonts w:hint="eastAsia" w:hAnsi="宋体"/>
          <w:color w:val="auto"/>
        </w:rPr>
        <w:t>。</w:t>
      </w:r>
      <w:bookmarkStart w:id="42" w:name="_GoBack"/>
      <w:bookmarkEnd w:id="42"/>
    </w:p>
    <w:p>
      <w:pPr>
        <w:pStyle w:val="23"/>
        <w:rPr>
          <w:rFonts w:hint="eastAsia" w:hAnsi="宋体"/>
          <w:color w:val="auto"/>
          <w:lang w:eastAsia="zh-CN"/>
        </w:rPr>
      </w:pPr>
      <w:r>
        <w:rPr>
          <w:rFonts w:hint="eastAsia" w:hAnsi="宋体"/>
          <w:color w:val="auto"/>
          <w:lang w:eastAsia="zh-CN"/>
        </w:rPr>
        <w:t>本文件及其所代替文件的历次版本发布情况为：</w:t>
      </w:r>
    </w:p>
    <w:p>
      <w:pPr>
        <w:pStyle w:val="57"/>
        <w:bidi w:val="0"/>
        <w:rPr>
          <w:rFonts w:hint="eastAsia"/>
          <w:lang w:eastAsia="zh-CN"/>
        </w:rPr>
      </w:pPr>
      <w:r>
        <w:rPr>
          <w:rFonts w:hint="eastAsia"/>
          <w:lang w:val="en-US" w:eastAsia="zh-CN"/>
        </w:rPr>
        <w:t>2019年首次发布为</w:t>
      </w:r>
      <w:r>
        <w:rPr>
          <w:rFonts w:hint="eastAsia" w:hAnsi="宋体"/>
          <w:color w:val="000000"/>
          <w:lang w:val="en-US" w:eastAsia="zh-CN"/>
        </w:rPr>
        <w:t>DB1308/T 263-2019；</w:t>
      </w:r>
    </w:p>
    <w:p>
      <w:pPr>
        <w:pStyle w:val="57"/>
        <w:bidi w:val="0"/>
        <w:rPr>
          <w:rFonts w:hint="eastAsia"/>
          <w:lang w:eastAsia="zh-CN"/>
        </w:rPr>
      </w:pPr>
      <w:r>
        <w:rPr>
          <w:rFonts w:hint="eastAsia" w:hAnsi="宋体"/>
          <w:color w:val="000000"/>
          <w:lang w:val="en-US" w:eastAsia="zh-CN"/>
        </w:rPr>
        <w:t>本次为第一次修订。</w:t>
      </w:r>
    </w:p>
    <w:p>
      <w:pPr>
        <w:pStyle w:val="23"/>
        <w:rPr>
          <w:rFonts w:cs="Times New Roman"/>
          <w:color w:val="000000"/>
        </w:rPr>
      </w:pPr>
    </w:p>
    <w:p>
      <w:pPr>
        <w:pStyle w:val="23"/>
        <w:rPr>
          <w:rFonts w:cs="Times New Roman"/>
          <w:color w:val="000000"/>
        </w:rPr>
      </w:pPr>
    </w:p>
    <w:p>
      <w:pPr>
        <w:pStyle w:val="23"/>
        <w:rPr>
          <w:rFonts w:cs="Times New Roman"/>
          <w:color w:val="000000"/>
        </w:rPr>
      </w:pPr>
    </w:p>
    <w:p>
      <w:pPr>
        <w:pStyle w:val="23"/>
        <w:rPr>
          <w:rFonts w:cs="Times New Roman"/>
          <w:color w:val="000000"/>
        </w:rPr>
      </w:pPr>
    </w:p>
    <w:p>
      <w:pPr>
        <w:pStyle w:val="23"/>
        <w:rPr>
          <w:rFonts w:cs="Times New Roman"/>
          <w:color w:val="000000"/>
        </w:rPr>
      </w:pPr>
    </w:p>
    <w:p>
      <w:pPr>
        <w:pStyle w:val="23"/>
        <w:rPr>
          <w:rFonts w:cs="Times New Roman"/>
          <w:color w:val="000000"/>
        </w:rPr>
      </w:pPr>
    </w:p>
    <w:p>
      <w:pPr>
        <w:pStyle w:val="23"/>
        <w:rPr>
          <w:rFonts w:cs="Times New Roman"/>
          <w:color w:val="000000"/>
        </w:rPr>
      </w:pPr>
    </w:p>
    <w:p>
      <w:pPr>
        <w:pStyle w:val="23"/>
        <w:rPr>
          <w:rFonts w:cs="Times New Roman"/>
          <w:color w:val="000000"/>
        </w:rPr>
      </w:pPr>
    </w:p>
    <w:p>
      <w:pPr>
        <w:pStyle w:val="23"/>
        <w:rPr>
          <w:rFonts w:cs="Times New Roman"/>
          <w:color w:val="000000"/>
        </w:rPr>
      </w:pPr>
    </w:p>
    <w:p>
      <w:pPr>
        <w:pStyle w:val="23"/>
        <w:ind w:firstLine="0" w:firstLineChars="0"/>
        <w:rPr>
          <w:rFonts w:cs="Times New Roman"/>
          <w:color w:val="000000"/>
        </w:rPr>
        <w:sectPr>
          <w:footerReference r:id="rId5" w:type="default"/>
          <w:pgSz w:w="11906" w:h="16838"/>
          <w:pgMar w:top="567" w:right="1134" w:bottom="1134" w:left="1418" w:header="1418" w:footer="1134" w:gutter="0"/>
          <w:pgNumType w:start="1"/>
          <w:cols w:space="425" w:num="1"/>
          <w:formProt w:val="0"/>
          <w:docGrid w:type="lines" w:linePitch="312" w:charSpace="0"/>
        </w:sectPr>
      </w:pPr>
    </w:p>
    <w:p>
      <w:pPr>
        <w:jc w:val="center"/>
        <w:rPr>
          <w:rFonts w:ascii="黑体" w:eastAsia="黑体"/>
          <w:b/>
          <w:bCs/>
          <w:color w:val="000000"/>
          <w:sz w:val="32"/>
          <w:szCs w:val="32"/>
        </w:rPr>
      </w:pPr>
      <w:bookmarkStart w:id="19" w:name="_Toc32408_WPSOffice_Level1"/>
      <w:r>
        <w:rPr>
          <w:rFonts w:hint="eastAsia" w:ascii="黑体" w:eastAsia="黑体"/>
          <w:sz w:val="32"/>
          <w:szCs w:val="32"/>
        </w:rPr>
        <w:t>中</w:t>
      </w:r>
      <w:bookmarkStart w:id="20" w:name="StandardName"/>
      <w:r>
        <w:rPr>
          <w:rFonts w:hint="eastAsia" w:ascii="黑体" w:eastAsia="黑体"/>
          <w:sz w:val="32"/>
          <w:szCs w:val="32"/>
        </w:rPr>
        <w:t>小学校食堂管理规范</w:t>
      </w:r>
      <w:bookmarkEnd w:id="19"/>
      <w:bookmarkEnd w:id="20"/>
    </w:p>
    <w:p>
      <w:pPr>
        <w:pStyle w:val="54"/>
        <w:spacing w:before="312" w:after="312"/>
        <w:rPr>
          <w:rFonts w:cs="Times New Roman"/>
          <w:color w:val="000000"/>
        </w:rPr>
      </w:pPr>
      <w:bookmarkStart w:id="21" w:name="_Toc15432_WPSOffice_Level1"/>
      <w:r>
        <w:rPr>
          <w:rFonts w:hint="eastAsia"/>
          <w:color w:val="000000"/>
        </w:rPr>
        <w:t>范围</w:t>
      </w:r>
      <w:bookmarkEnd w:id="21"/>
    </w:p>
    <w:p>
      <w:pPr>
        <w:pStyle w:val="23"/>
        <w:rPr>
          <w:rFonts w:ascii="华文仿宋" w:hAnsi="华文仿宋" w:eastAsia="华文仿宋" w:cs="Times New Roman"/>
          <w:color w:val="000000"/>
        </w:rPr>
      </w:pPr>
      <w:r>
        <w:rPr>
          <w:rFonts w:hint="eastAsia"/>
        </w:rPr>
        <w:t>本</w:t>
      </w:r>
      <w:r>
        <w:rPr>
          <w:rFonts w:hint="eastAsia"/>
          <w:lang w:eastAsia="zh-CN"/>
        </w:rPr>
        <w:t>文件</w:t>
      </w:r>
      <w:r>
        <w:rPr>
          <w:rFonts w:hint="eastAsia"/>
        </w:rPr>
        <w:t>规定了中小学校食堂管理的总则、基本要求、结构布局与功能分区、设施设备、加工制作、卫生管理、食品安全自查、</w:t>
      </w:r>
      <w:r>
        <w:rPr>
          <w:rFonts w:hint="eastAsia"/>
          <w:color w:val="auto"/>
          <w:lang w:eastAsia="zh-CN"/>
        </w:rPr>
        <w:t>节约管理、</w:t>
      </w:r>
      <w:r>
        <w:rPr>
          <w:rFonts w:hint="eastAsia"/>
        </w:rPr>
        <w:t>应急处置、投诉处理以及文件记录</w:t>
      </w:r>
      <w:r>
        <w:rPr>
          <w:rFonts w:hint="eastAsia"/>
          <w:lang w:eastAsia="zh-CN"/>
        </w:rPr>
        <w:t>要求</w:t>
      </w:r>
      <w:r>
        <w:rPr>
          <w:rFonts w:hint="eastAsia"/>
        </w:rPr>
        <w:t>。</w:t>
      </w:r>
    </w:p>
    <w:p>
      <w:pPr>
        <w:pStyle w:val="23"/>
        <w:rPr>
          <w:rFonts w:hAnsi="宋体" w:cs="Times New Roman"/>
          <w:color w:val="000000"/>
        </w:rPr>
      </w:pPr>
      <w:r>
        <w:rPr>
          <w:rFonts w:hint="eastAsia" w:hAnsi="宋体"/>
        </w:rPr>
        <w:t>本</w:t>
      </w:r>
      <w:r>
        <w:rPr>
          <w:rFonts w:hint="eastAsia" w:hAnsi="宋体"/>
          <w:lang w:eastAsia="zh-CN"/>
        </w:rPr>
        <w:t>文件</w:t>
      </w:r>
      <w:r>
        <w:rPr>
          <w:rFonts w:hint="eastAsia" w:hAnsi="宋体"/>
        </w:rPr>
        <w:t>适用于普通中小学校、中等职业学校、特殊教育学校、幼儿园等校园食堂的管理</w:t>
      </w:r>
      <w:r>
        <w:rPr>
          <w:rFonts w:hint="eastAsia"/>
        </w:rPr>
        <w:t>。</w:t>
      </w:r>
    </w:p>
    <w:p>
      <w:pPr>
        <w:pStyle w:val="54"/>
        <w:spacing w:before="312" w:after="312"/>
        <w:rPr>
          <w:rFonts w:cs="Times New Roman"/>
          <w:color w:val="000000"/>
        </w:rPr>
      </w:pPr>
      <w:bookmarkStart w:id="22" w:name="_Toc10432_WPSOffice_Level1"/>
      <w:r>
        <w:rPr>
          <w:rFonts w:hint="eastAsia"/>
          <w:color w:val="000000"/>
        </w:rPr>
        <w:t>规范性引用文件</w:t>
      </w:r>
      <w:bookmarkEnd w:id="22"/>
    </w:p>
    <w:p>
      <w:pPr>
        <w:ind w:firstLine="420" w:firstLineChars="200"/>
        <w:rPr>
          <w:rFonts w:ascii="宋体"/>
          <w:color w:val="000000"/>
          <w:kern w:val="0"/>
        </w:rPr>
      </w:pPr>
      <w:r>
        <w:rPr>
          <w:rFonts w:hint="eastAsia" w:ascii="宋体" w:hAnsi="宋体" w:cs="宋体"/>
          <w:color w:val="000000"/>
          <w:kern w:val="0"/>
        </w:rPr>
        <w:t>下列文件对于本文件的应用是必不可少的。凡是注日期的引用文件，仅注日期的版本适用于本文件，凡是不注日期的引用文件，其最新版本（包括所有的修改单）适用于本文件。</w:t>
      </w:r>
    </w:p>
    <w:p>
      <w:pPr>
        <w:pStyle w:val="23"/>
        <w:rPr>
          <w:rFonts w:hAnsi="宋体"/>
        </w:rPr>
      </w:pPr>
      <w:r>
        <w:rPr>
          <w:rFonts w:hint="eastAsia" w:hAnsi="宋体"/>
        </w:rPr>
        <w:t>GB 2760</w:t>
      </w:r>
      <w:bookmarkStart w:id="23" w:name="735915"/>
      <w:bookmarkEnd w:id="23"/>
      <w:r>
        <w:rPr>
          <w:rFonts w:hint="eastAsia" w:hAnsi="宋体"/>
        </w:rPr>
        <w:t xml:space="preserve">  食品安全国家标准 食品添加剂使用标准</w:t>
      </w:r>
    </w:p>
    <w:p>
      <w:pPr>
        <w:pStyle w:val="23"/>
        <w:rPr>
          <w:rFonts w:hAnsi="宋体"/>
        </w:rPr>
      </w:pPr>
      <w:r>
        <w:rPr>
          <w:rFonts w:hint="eastAsia" w:hAnsi="宋体"/>
        </w:rPr>
        <w:t>GB 2894</w:t>
      </w:r>
      <w:bookmarkStart w:id="24" w:name="398063"/>
      <w:r>
        <w:rPr>
          <w:rFonts w:hint="eastAsia" w:hAnsi="宋体"/>
        </w:rPr>
        <w:t xml:space="preserve">  安全标志及其使用导则</w:t>
      </w:r>
      <w:bookmarkEnd w:id="24"/>
    </w:p>
    <w:p>
      <w:pPr>
        <w:pStyle w:val="23"/>
        <w:rPr>
          <w:rFonts w:hAnsi="宋体"/>
        </w:rPr>
      </w:pPr>
      <w:r>
        <w:rPr>
          <w:rFonts w:hint="eastAsia" w:hAnsi="宋体"/>
        </w:rPr>
        <w:t>GB 5749</w:t>
      </w:r>
      <w:bookmarkStart w:id="25" w:name="160507"/>
      <w:bookmarkEnd w:id="25"/>
      <w:r>
        <w:rPr>
          <w:rFonts w:hint="eastAsia" w:hAnsi="宋体"/>
        </w:rPr>
        <w:t xml:space="preserve">  生活饮用水卫生标准</w:t>
      </w:r>
    </w:p>
    <w:p>
      <w:pPr>
        <w:pStyle w:val="23"/>
        <w:rPr>
          <w:rFonts w:hAnsi="宋体"/>
        </w:rPr>
      </w:pPr>
      <w:r>
        <w:rPr>
          <w:rFonts w:hint="eastAsia" w:hAnsi="宋体"/>
        </w:rPr>
        <w:t>GB 13495.1  消防安全标志 第1部分：标志</w:t>
      </w:r>
    </w:p>
    <w:p>
      <w:pPr>
        <w:pStyle w:val="23"/>
        <w:rPr>
          <w:rFonts w:hAnsi="宋体"/>
        </w:rPr>
      </w:pPr>
      <w:r>
        <w:rPr>
          <w:rFonts w:hint="eastAsia" w:hAnsi="宋体"/>
        </w:rPr>
        <w:t>GB 14930.1</w:t>
      </w:r>
      <w:bookmarkStart w:id="26" w:name="2c28808a537eae0a015382a60d211847"/>
      <w:bookmarkEnd w:id="26"/>
      <w:r>
        <w:rPr>
          <w:rFonts w:hint="eastAsia" w:hAnsi="宋体"/>
        </w:rPr>
        <w:t xml:space="preserve">  食品安全国家标准 洗涤剂 </w:t>
      </w:r>
    </w:p>
    <w:p>
      <w:pPr>
        <w:pStyle w:val="23"/>
        <w:rPr>
          <w:rFonts w:hAnsi="宋体"/>
        </w:rPr>
      </w:pPr>
      <w:r>
        <w:rPr>
          <w:rFonts w:hint="eastAsia" w:hAnsi="宋体"/>
        </w:rPr>
        <w:t>GB 14930.2</w:t>
      </w:r>
      <w:bookmarkStart w:id="27" w:name="700043"/>
      <w:bookmarkEnd w:id="27"/>
      <w:r>
        <w:rPr>
          <w:rFonts w:hint="eastAsia" w:hAnsi="宋体"/>
        </w:rPr>
        <w:t xml:space="preserve">  食品安全国家标准 消毒剂</w:t>
      </w:r>
    </w:p>
    <w:p>
      <w:pPr>
        <w:pStyle w:val="23"/>
        <w:rPr>
          <w:rFonts w:hAnsi="宋体"/>
        </w:rPr>
      </w:pPr>
      <w:r>
        <w:rPr>
          <w:rFonts w:hint="eastAsia" w:hAnsi="宋体"/>
        </w:rPr>
        <w:t>GB 14934  食品安全国家标准 消毒餐（饮）具</w:t>
      </w:r>
    </w:p>
    <w:p>
      <w:pPr>
        <w:pStyle w:val="23"/>
        <w:rPr>
          <w:rFonts w:hint="eastAsia" w:hAnsi="宋体"/>
        </w:rPr>
      </w:pPr>
      <w:r>
        <w:rPr>
          <w:rFonts w:hint="eastAsia" w:hAnsi="宋体"/>
        </w:rPr>
        <w:t>GB 50016</w:t>
      </w:r>
      <w:bookmarkStart w:id="28" w:name="732394"/>
      <w:r>
        <w:rPr>
          <w:rFonts w:hint="eastAsia" w:hAnsi="宋体"/>
        </w:rPr>
        <w:t xml:space="preserve">  </w:t>
      </w:r>
      <w:r>
        <w:fldChar w:fldCharType="begin"/>
      </w:r>
      <w:r>
        <w:instrText xml:space="preserve"> HYPERLINK "http://www.bzsb.info/searchStandard.do" </w:instrText>
      </w:r>
      <w:r>
        <w:fldChar w:fldCharType="separate"/>
      </w:r>
      <w:r>
        <w:rPr>
          <w:rFonts w:hint="eastAsia" w:hAnsi="宋体"/>
        </w:rPr>
        <w:t>建筑设计防火规范</w:t>
      </w:r>
      <w:r>
        <w:rPr>
          <w:rFonts w:hint="eastAsia" w:hAnsi="宋体"/>
        </w:rPr>
        <w:fldChar w:fldCharType="end"/>
      </w:r>
      <w:bookmarkEnd w:id="28"/>
    </w:p>
    <w:p>
      <w:pPr>
        <w:pStyle w:val="23"/>
        <w:rPr>
          <w:rFonts w:hint="default" w:hAnsi="宋体" w:eastAsia="宋体"/>
          <w:color w:val="auto"/>
          <w:lang w:val="en-US" w:eastAsia="zh-CN"/>
        </w:rPr>
      </w:pPr>
      <w:r>
        <w:rPr>
          <w:rFonts w:hint="eastAsia" w:hAnsi="宋体"/>
          <w:color w:val="auto"/>
          <w:lang w:val="en-US" w:eastAsia="zh-CN"/>
        </w:rPr>
        <w:t>DB1308/T 330  学校食堂节约规范</w:t>
      </w:r>
    </w:p>
    <w:p>
      <w:pPr>
        <w:pStyle w:val="54"/>
        <w:spacing w:before="312" w:after="312"/>
        <w:rPr>
          <w:rFonts w:hAnsi="黑体"/>
          <w:color w:val="000000"/>
        </w:rPr>
      </w:pPr>
      <w:bookmarkStart w:id="29" w:name="_Toc16876_WPSOffice_Level1"/>
      <w:r>
        <w:rPr>
          <w:rFonts w:hint="eastAsia" w:hAnsi="黑体"/>
          <w:color w:val="000000"/>
        </w:rPr>
        <w:t>术语和定义</w:t>
      </w:r>
      <w:bookmarkEnd w:id="29"/>
    </w:p>
    <w:p>
      <w:pPr>
        <w:pStyle w:val="51"/>
        <w:spacing w:before="156" w:after="156"/>
      </w:pPr>
    </w:p>
    <w:p>
      <w:pPr>
        <w:pStyle w:val="23"/>
        <w:bidi w:val="0"/>
        <w:rPr>
          <w:rFonts w:hint="eastAsia" w:ascii="方正黑体_GBK" w:hAnsi="方正黑体_GBK" w:eastAsia="方正黑体_GBK" w:cs="方正黑体_GBK"/>
        </w:rPr>
      </w:pPr>
      <w:r>
        <w:rPr>
          <w:rFonts w:hint="eastAsia" w:ascii="方正黑体_GBK" w:hAnsi="方正黑体_GBK" w:eastAsia="方正黑体_GBK" w:cs="方正黑体_GBK"/>
        </w:rPr>
        <w:t>中小学校食堂</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middle and primary school canteen</w:t>
      </w:r>
    </w:p>
    <w:p>
      <w:pPr>
        <w:pStyle w:val="23"/>
        <w:bidi w:val="0"/>
      </w:pPr>
      <w:r>
        <w:rPr>
          <w:rFonts w:hint="eastAsia"/>
        </w:rPr>
        <w:t>普通中小学校、中等职业学校、特殊教育学校自办食堂、承包食堂和学校后勤社会化后专门为学生提供就餐服务的实体，具有相对独立的原料存放、食品加工制作、食品供应及就餐空间。以下简称学校食堂。</w:t>
      </w:r>
    </w:p>
    <w:p>
      <w:pPr>
        <w:pStyle w:val="51"/>
        <w:spacing w:before="156" w:after="156"/>
      </w:pPr>
    </w:p>
    <w:p>
      <w:pPr>
        <w:pStyle w:val="23"/>
        <w:bidi w:val="0"/>
        <w:rPr>
          <w:rFonts w:hint="eastAsia" w:ascii="方正黑体_GBK" w:hAnsi="方正黑体_GBK" w:eastAsia="方正黑体_GBK" w:cs="方正黑体_GBK"/>
        </w:rPr>
      </w:pPr>
      <w:r>
        <w:rPr>
          <w:rFonts w:hint="eastAsia" w:ascii="方正黑体_GBK" w:hAnsi="方正黑体_GBK" w:eastAsia="方正黑体_GBK" w:cs="方正黑体_GBK"/>
        </w:rPr>
        <w:t>从业人员</w:t>
      </w:r>
      <w:r>
        <w:rPr>
          <w:rFonts w:hint="eastAsia" w:ascii="方正黑体_GBK" w:hAnsi="方正黑体_GBK" w:eastAsia="方正黑体_GBK" w:cs="方正黑体_GBK"/>
          <w:lang w:val="en-US" w:eastAsia="zh-CN"/>
        </w:rPr>
        <w:t xml:space="preserve">  </w:t>
      </w:r>
      <w:r>
        <w:rPr>
          <w:rFonts w:hint="eastAsia" w:ascii="方正黑体_GBK" w:hAnsi="方正黑体_GBK" w:eastAsia="方正黑体_GBK" w:cs="方正黑体_GBK"/>
        </w:rPr>
        <w:t> </w:t>
      </w:r>
      <w:r>
        <w:rPr>
          <w:rFonts w:hint="eastAsia" w:ascii="方正黑体_GBK" w:hAnsi="方正黑体_GBK" w:eastAsia="方正黑体_GBK" w:cs="方正黑体_GBK"/>
        </w:rPr>
        <w:fldChar w:fldCharType="begin"/>
      </w:r>
      <w:r>
        <w:rPr>
          <w:rFonts w:hint="eastAsia" w:ascii="方正黑体_GBK" w:hAnsi="方正黑体_GBK" w:eastAsia="方正黑体_GBK" w:cs="方正黑体_GBK"/>
        </w:rPr>
        <w:instrText xml:space="preserve"> HYPERLINK "http://dict.youdao.com/w/employee/" \l "keyfrom=E2Ctranslation" </w:instrText>
      </w:r>
      <w:r>
        <w:rPr>
          <w:rFonts w:hint="eastAsia" w:ascii="方正黑体_GBK" w:hAnsi="方正黑体_GBK" w:eastAsia="方正黑体_GBK" w:cs="方正黑体_GBK"/>
        </w:rPr>
        <w:fldChar w:fldCharType="separate"/>
      </w:r>
      <w:r>
        <w:rPr>
          <w:rFonts w:hint="eastAsia" w:ascii="方正黑体_GBK" w:hAnsi="方正黑体_GBK" w:eastAsia="方正黑体_GBK" w:cs="方正黑体_GBK"/>
        </w:rPr>
        <w:t>employee</w:t>
      </w:r>
      <w:r>
        <w:rPr>
          <w:rFonts w:hint="eastAsia" w:ascii="方正黑体_GBK" w:hAnsi="方正黑体_GBK" w:eastAsia="方正黑体_GBK" w:cs="方正黑体_GBK"/>
        </w:rPr>
        <w:fldChar w:fldCharType="end"/>
      </w:r>
    </w:p>
    <w:p>
      <w:pPr>
        <w:pStyle w:val="23"/>
        <w:bidi w:val="0"/>
      </w:pPr>
      <w:r>
        <w:rPr>
          <w:rFonts w:hint="eastAsia"/>
        </w:rPr>
        <w:t>从事学生食堂综合管理、食品采购、保存、加工、供餐服务、食品安全管理、卫生保洁等相关工作的人员。</w:t>
      </w:r>
    </w:p>
    <w:p>
      <w:pPr>
        <w:pStyle w:val="54"/>
        <w:spacing w:before="312" w:after="312"/>
      </w:pPr>
      <w:bookmarkStart w:id="30" w:name="_Toc11555_WPSOffice_Level1"/>
      <w:r>
        <w:rPr>
          <w:rFonts w:hint="eastAsia"/>
        </w:rPr>
        <w:t>总则</w:t>
      </w:r>
      <w:bookmarkEnd w:id="30"/>
    </w:p>
    <w:p>
      <w:pPr>
        <w:pStyle w:val="23"/>
        <w:bidi w:val="0"/>
      </w:pPr>
      <w:r>
        <w:rPr>
          <w:rFonts w:hint="eastAsia"/>
        </w:rPr>
        <w:t>围绕采购、贮存、加工、供餐等关键环节保障食品安全，促进营养健康，建立食品安全风险防控体系，配合有关部门做好监督检查。</w:t>
      </w:r>
    </w:p>
    <w:p>
      <w:pPr>
        <w:pStyle w:val="54"/>
        <w:spacing w:before="312" w:after="312"/>
      </w:pPr>
      <w:bookmarkStart w:id="31" w:name="_Toc4094_WPSOffice_Level1"/>
      <w:r>
        <w:rPr>
          <w:rFonts w:hint="eastAsia"/>
        </w:rPr>
        <w:t>基本要求</w:t>
      </w:r>
      <w:bookmarkEnd w:id="31"/>
    </w:p>
    <w:p>
      <w:pPr>
        <w:pStyle w:val="51"/>
        <w:spacing w:before="156" w:after="156"/>
      </w:pPr>
      <w:r>
        <w:rPr>
          <w:rFonts w:hint="eastAsia"/>
        </w:rPr>
        <w:t>证照资质</w:t>
      </w:r>
    </w:p>
    <w:p>
      <w:pPr>
        <w:pStyle w:val="23"/>
        <w:rPr>
          <w:color w:val="auto"/>
        </w:rPr>
      </w:pPr>
      <w:r>
        <w:rPr>
          <w:rFonts w:hint="eastAsia"/>
        </w:rPr>
        <w:t>持有效食品经营许可证、从业人员健康证、</w:t>
      </w:r>
      <w:r>
        <w:rPr>
          <w:rFonts w:hint="eastAsia"/>
          <w:color w:val="auto"/>
        </w:rPr>
        <w:t>食品经营</w:t>
      </w:r>
      <w:r>
        <w:rPr>
          <w:color w:val="auto"/>
        </w:rPr>
        <w:t>风险等级评定结果</w:t>
      </w:r>
      <w:r>
        <w:rPr>
          <w:rFonts w:hint="eastAsia"/>
          <w:color w:val="auto"/>
        </w:rPr>
        <w:t>，并在醒目位置公示。</w:t>
      </w:r>
    </w:p>
    <w:p>
      <w:pPr>
        <w:pStyle w:val="51"/>
        <w:spacing w:before="156" w:after="156"/>
        <w:rPr>
          <w:color w:val="auto"/>
        </w:rPr>
      </w:pPr>
      <w:r>
        <w:rPr>
          <w:rFonts w:hint="eastAsia"/>
          <w:color w:val="auto"/>
        </w:rPr>
        <w:t>组织管理</w:t>
      </w:r>
    </w:p>
    <w:p>
      <w:pPr>
        <w:pStyle w:val="72"/>
        <w:spacing w:before="0" w:after="0"/>
        <w:rPr>
          <w:color w:val="auto"/>
        </w:rPr>
      </w:pPr>
      <w:r>
        <w:rPr>
          <w:rFonts w:hint="eastAsia"/>
          <w:color w:val="auto"/>
        </w:rPr>
        <w:t>校长或园长是食品安全第一责任人，并签订食品安全承诺书或责任书。</w:t>
      </w:r>
    </w:p>
    <w:p>
      <w:pPr>
        <w:pStyle w:val="72"/>
        <w:spacing w:before="0" w:after="0"/>
        <w:rPr>
          <w:color w:val="auto"/>
        </w:rPr>
      </w:pPr>
      <w:r>
        <w:rPr>
          <w:rFonts w:hint="eastAsia" w:hAnsi="宋体"/>
          <w:color w:val="auto"/>
        </w:rPr>
        <w:t>建立学校食品安全委员会和学校食品安全领导小组，明确</w:t>
      </w:r>
      <w:r>
        <w:rPr>
          <w:rFonts w:hAnsi="宋体"/>
          <w:color w:val="auto"/>
        </w:rPr>
        <w:t>专职</w:t>
      </w:r>
      <w:r>
        <w:rPr>
          <w:rFonts w:hint="eastAsia" w:hAnsi="宋体"/>
          <w:color w:val="auto"/>
        </w:rPr>
        <w:t>食品安全管理人员。</w:t>
      </w:r>
    </w:p>
    <w:p>
      <w:pPr>
        <w:pStyle w:val="72"/>
        <w:spacing w:before="0" w:after="0"/>
        <w:rPr>
          <w:color w:val="auto"/>
        </w:rPr>
      </w:pPr>
      <w:r>
        <w:rPr>
          <w:rFonts w:hint="eastAsia"/>
          <w:color w:val="auto"/>
        </w:rPr>
        <w:t>设置</w:t>
      </w:r>
      <w:r>
        <w:rPr>
          <w:color w:val="auto"/>
        </w:rPr>
        <w:t>食品安全总监、食品安全员</w:t>
      </w:r>
      <w:r>
        <w:rPr>
          <w:rFonts w:hint="eastAsia"/>
          <w:color w:val="auto"/>
        </w:rPr>
        <w:t>、厨师长、采购员、验收员、粗加工人员、仓库保管员、餐具消毒人员等岗位，明确学校主要负责人及各岗位职责。</w:t>
      </w:r>
    </w:p>
    <w:p>
      <w:pPr>
        <w:pStyle w:val="51"/>
        <w:spacing w:before="156" w:after="156"/>
      </w:pPr>
      <w:r>
        <w:rPr>
          <w:rFonts w:hint="eastAsia"/>
        </w:rPr>
        <w:t>人员管理</w:t>
      </w:r>
    </w:p>
    <w:p>
      <w:pPr>
        <w:pStyle w:val="72"/>
        <w:spacing w:before="0" w:after="0"/>
      </w:pPr>
      <w:r>
        <w:rPr>
          <w:rFonts w:hint="eastAsia"/>
        </w:rPr>
        <w:t>从业人员依法获得健康合格证明，并建立健康档案。</w:t>
      </w:r>
    </w:p>
    <w:p>
      <w:pPr>
        <w:pStyle w:val="72"/>
        <w:spacing w:before="0" w:after="0"/>
      </w:pPr>
      <w:r>
        <w:rPr>
          <w:rFonts w:hint="eastAsia"/>
        </w:rPr>
        <w:t>从业人员需开展晨检，有记录。发现有发热、腹泻、皮肤伤口或感染等，应主动向食品安全管理员等报告，暂停从事接触直接入口食品的工作。</w:t>
      </w:r>
    </w:p>
    <w:p>
      <w:pPr>
        <w:pStyle w:val="72"/>
        <w:spacing w:before="0" w:after="0"/>
      </w:pPr>
      <w:r>
        <w:rPr>
          <w:rFonts w:hint="eastAsia"/>
        </w:rPr>
        <w:t>从业人员应定期开展食品安全知识培训，每年不少于2次，建立培训档案。新进人员培训后上岗。</w:t>
      </w:r>
    </w:p>
    <w:p>
      <w:pPr>
        <w:pStyle w:val="72"/>
        <w:spacing w:before="0" w:after="0"/>
        <w:rPr>
          <w:color w:val="auto"/>
        </w:rPr>
      </w:pPr>
      <w:r>
        <w:rPr>
          <w:rFonts w:hint="eastAsia"/>
          <w:color w:val="auto"/>
        </w:rPr>
        <w:t>从业人员上岗时应按规定进行更衣、洗手、消毒，保持衣帽干净整洁，严禁带首饰、留长指甲、化妆、在工作场所抽烟等。</w:t>
      </w:r>
      <w:r>
        <w:rPr>
          <w:color w:val="auto"/>
        </w:rPr>
        <w:t>从事</w:t>
      </w:r>
      <w:r>
        <w:rPr>
          <w:rFonts w:hint="eastAsia"/>
          <w:color w:val="auto"/>
        </w:rPr>
        <w:t>食品</w:t>
      </w:r>
      <w:r>
        <w:rPr>
          <w:color w:val="auto"/>
        </w:rPr>
        <w:t>加工、制作、传菜、销售等餐饮服务工作的人员</w:t>
      </w:r>
      <w:r>
        <w:rPr>
          <w:rFonts w:hint="eastAsia"/>
          <w:color w:val="auto"/>
        </w:rPr>
        <w:t>须戴口罩。应保持良好的个人卫生习惯。</w:t>
      </w:r>
    </w:p>
    <w:p>
      <w:pPr>
        <w:pStyle w:val="51"/>
        <w:spacing w:before="156" w:after="156"/>
        <w:rPr>
          <w:color w:val="auto"/>
        </w:rPr>
      </w:pPr>
      <w:r>
        <w:rPr>
          <w:rFonts w:hint="eastAsia"/>
          <w:color w:val="auto"/>
        </w:rPr>
        <w:t>制度建设</w:t>
      </w:r>
    </w:p>
    <w:p>
      <w:pPr>
        <w:pStyle w:val="72"/>
        <w:spacing w:before="0" w:after="0"/>
        <w:rPr>
          <w:color w:val="auto"/>
        </w:rPr>
      </w:pPr>
      <w:r>
        <w:rPr>
          <w:rFonts w:hint="eastAsia"/>
          <w:color w:val="auto"/>
        </w:rPr>
        <w:t>建立食品安全自查、</w:t>
      </w:r>
      <w:r>
        <w:rPr>
          <w:rFonts w:ascii="仿宋_GB2312"/>
          <w:color w:val="auto"/>
          <w:kern w:val="2"/>
        </w:rPr>
        <w:t>食品安全追溯、从业人员健康管理</w:t>
      </w:r>
      <w:r>
        <w:rPr>
          <w:rFonts w:hint="eastAsia" w:ascii="仿宋_GB2312"/>
          <w:color w:val="auto"/>
        </w:rPr>
        <w:t>制度，</w:t>
      </w:r>
      <w:r>
        <w:rPr>
          <w:rFonts w:ascii="仿宋_GB2312"/>
          <w:color w:val="auto"/>
          <w:kern w:val="2"/>
        </w:rPr>
        <w:t>制定食品安全风险管控清单，建立健全日管控、周排查、月调度工作制度和机制。建立健全食品安全管理人员培训和考核制度、进货查验记录制度、场所及设施设备清洗消毒和维修保养制度、食品贮存管理制度、废弃物处置制度、不合格食品处置制度、食品安全事故处置方案以及食品经营过程控制制度等。建立原料供货商管理评价制度以及退出机制</w:t>
      </w:r>
      <w:r>
        <w:rPr>
          <w:rFonts w:hint="eastAsia" w:ascii="仿宋_GB2312"/>
          <w:color w:val="auto"/>
        </w:rPr>
        <w:t>，</w:t>
      </w:r>
      <w:r>
        <w:rPr>
          <w:rFonts w:ascii="仿宋_GB2312"/>
          <w:color w:val="auto"/>
          <w:kern w:val="2"/>
        </w:rPr>
        <w:t>定期清洗消毒空调及通风设施</w:t>
      </w:r>
      <w:r>
        <w:rPr>
          <w:rFonts w:ascii="仿宋_GB2312"/>
          <w:color w:val="auto"/>
        </w:rPr>
        <w:t>制度、定期清洁卫生间</w:t>
      </w:r>
      <w:r>
        <w:rPr>
          <w:rFonts w:ascii="仿宋_GB2312"/>
          <w:color w:val="auto"/>
          <w:kern w:val="2"/>
        </w:rPr>
        <w:t>制度</w:t>
      </w:r>
      <w:r>
        <w:rPr>
          <w:rFonts w:hint="eastAsia" w:ascii="仿宋_GB2312"/>
          <w:color w:val="auto"/>
        </w:rPr>
        <w:t>。</w:t>
      </w:r>
    </w:p>
    <w:p>
      <w:pPr>
        <w:pStyle w:val="72"/>
        <w:spacing w:before="0" w:after="0"/>
        <w:rPr>
          <w:color w:val="auto"/>
        </w:rPr>
      </w:pPr>
      <w:r>
        <w:rPr>
          <w:rFonts w:hint="eastAsia"/>
          <w:color w:val="auto"/>
        </w:rPr>
        <w:t>根据实际情况制定并公示绞切机操作规程、和面机操作规程、电烤箱操作规程、餐具消毒操作规程、食品加工操作规程等。</w:t>
      </w:r>
    </w:p>
    <w:p>
      <w:pPr>
        <w:pStyle w:val="72"/>
        <w:spacing w:before="0" w:after="0"/>
        <w:rPr>
          <w:color w:val="auto"/>
        </w:rPr>
      </w:pPr>
      <w:r>
        <w:rPr>
          <w:rFonts w:hint="eastAsia"/>
          <w:color w:val="auto"/>
        </w:rPr>
        <w:t>建立食品安全公示制度，对食品原料采购信息、食品添加剂、食品快检结果等信息进行公示。</w:t>
      </w:r>
    </w:p>
    <w:p>
      <w:pPr>
        <w:pStyle w:val="72"/>
        <w:spacing w:before="0" w:after="0"/>
        <w:rPr>
          <w:color w:val="auto"/>
        </w:rPr>
      </w:pPr>
      <w:r>
        <w:rPr>
          <w:rFonts w:hint="eastAsia"/>
          <w:color w:val="auto"/>
        </w:rPr>
        <w:t>采取“透明厨房”、“视频厨房”、“隔断厨房”和“网络厨房”等形式，实施“明厨亮灶”工程。通过视频或将视频信息上传至网络平台的方式公开食品粗加工、烹饪、专间、餐饮具清洗消毒等重点区域，展示或上传信息清晰完整，保存期限不少于 15 d。</w:t>
      </w:r>
    </w:p>
    <w:p>
      <w:pPr>
        <w:pStyle w:val="51"/>
        <w:spacing w:before="156" w:after="156"/>
        <w:rPr>
          <w:color w:val="auto"/>
        </w:rPr>
      </w:pPr>
      <w:r>
        <w:rPr>
          <w:rFonts w:hint="eastAsia"/>
          <w:color w:val="auto"/>
        </w:rPr>
        <w:t>其他</w:t>
      </w:r>
    </w:p>
    <w:p>
      <w:pPr>
        <w:pStyle w:val="72"/>
        <w:spacing w:before="0" w:after="0"/>
      </w:pPr>
      <w:r>
        <w:rPr>
          <w:rFonts w:hint="eastAsia"/>
          <w:color w:val="auto"/>
        </w:rPr>
        <w:t>有清真餐需求的学校应设立清真灶和独立售饭窗口，清真餐所用的炊事设备、炊具用具、运输工具、计量器具、清洗设施应专用并有明显标识，所有餐用具</w:t>
      </w:r>
      <w:r>
        <w:rPr>
          <w:rFonts w:hint="eastAsia"/>
        </w:rPr>
        <w:t>应独立洗涤。</w:t>
      </w:r>
    </w:p>
    <w:p>
      <w:pPr>
        <w:pStyle w:val="72"/>
        <w:spacing w:before="0" w:after="0"/>
      </w:pPr>
      <w:r>
        <w:rPr>
          <w:rFonts w:hint="eastAsia"/>
        </w:rPr>
        <w:t>实行校长和教师代表陪餐制度，及时发现和解决食堂管理中存在的问题。</w:t>
      </w:r>
    </w:p>
    <w:p>
      <w:pPr>
        <w:pStyle w:val="72"/>
        <w:spacing w:before="0" w:after="0"/>
      </w:pPr>
      <w:r>
        <w:rPr>
          <w:rFonts w:hint="eastAsia"/>
        </w:rPr>
        <w:t>应建立由学校领导、学生、家长、教师代表等组成的膳食委员会。应配备专(兼)职营养师。</w:t>
      </w:r>
    </w:p>
    <w:p>
      <w:pPr>
        <w:pStyle w:val="54"/>
        <w:spacing w:before="312" w:after="312"/>
      </w:pPr>
      <w:bookmarkStart w:id="32" w:name="_Toc24539_WPSOffice_Level1"/>
      <w:r>
        <w:rPr>
          <w:rFonts w:hint="eastAsia"/>
        </w:rPr>
        <w:t>结构布局与功能分区</w:t>
      </w:r>
      <w:bookmarkEnd w:id="32"/>
    </w:p>
    <w:p>
      <w:pPr>
        <w:pStyle w:val="51"/>
        <w:spacing w:before="156" w:after="156"/>
      </w:pPr>
      <w:r>
        <w:rPr>
          <w:rFonts w:hint="eastAsia"/>
        </w:rPr>
        <w:t>选址</w:t>
      </w:r>
    </w:p>
    <w:p>
      <w:pPr>
        <w:pStyle w:val="23"/>
        <w:rPr>
          <w:color w:val="auto"/>
        </w:rPr>
      </w:pPr>
      <w:r>
        <w:rPr>
          <w:rFonts w:hint="eastAsia"/>
        </w:rPr>
        <w:t>应符合规划、环保、消防等要求，宜选择有给排水条件和电力供应的区域；距离粪坑、污染池，暴露垃圾场（站）、旱厕等污染源 25 m 以上；</w:t>
      </w:r>
      <w:r>
        <w:rPr>
          <w:rFonts w:hint="eastAsia"/>
          <w:color w:val="auto"/>
        </w:rPr>
        <w:t>在有害废弃物、粉尘、有害气体、放射性物质和其他扩散性污染源的影响范围之外。周围不应有可导致虫害大量孳生的场所，难以避开时应采取必要的防范措施。</w:t>
      </w:r>
    </w:p>
    <w:p>
      <w:pPr>
        <w:pStyle w:val="51"/>
        <w:spacing w:before="156" w:after="156"/>
        <w:rPr>
          <w:color w:val="auto"/>
        </w:rPr>
      </w:pPr>
      <w:r>
        <w:rPr>
          <w:rFonts w:hint="eastAsia"/>
          <w:color w:val="auto"/>
        </w:rPr>
        <w:t>布局</w:t>
      </w:r>
    </w:p>
    <w:p>
      <w:pPr>
        <w:pStyle w:val="72"/>
        <w:bidi w:val="0"/>
        <w:rPr>
          <w:color w:val="auto"/>
        </w:rPr>
      </w:pPr>
      <w:r>
        <w:rPr>
          <w:rFonts w:hint="eastAsia"/>
          <w:color w:val="auto"/>
        </w:rPr>
        <w:t>有相对独立的食品处理区、非食品处理区和就餐场所。</w:t>
      </w:r>
    </w:p>
    <w:p>
      <w:pPr>
        <w:pStyle w:val="72"/>
        <w:bidi w:val="0"/>
      </w:pPr>
      <w:r>
        <w:rPr>
          <w:rFonts w:hint="eastAsia"/>
        </w:rPr>
        <w:t>食品处理区应设置在室内，按照原料进入、原料加工、半成品加工、成品供应的流程合理布局。</w:t>
      </w:r>
    </w:p>
    <w:p>
      <w:pPr>
        <w:pStyle w:val="72"/>
        <w:bidi w:val="0"/>
      </w:pPr>
      <w:r>
        <w:rPr>
          <w:rFonts w:hint="eastAsia"/>
        </w:rPr>
        <w:t>原料通道及入口、成品通道及出口、使用后餐饮具的回收通道及入口宜分开设置。无法分设的，应在不同时段分别运送原料、成品、使用后的餐用具或者将运送的成品加以无污染覆盖。</w:t>
      </w:r>
    </w:p>
    <w:p>
      <w:pPr>
        <w:pStyle w:val="72"/>
        <w:bidi w:val="0"/>
      </w:pPr>
      <w:r>
        <w:rPr>
          <w:rFonts w:hint="eastAsia"/>
        </w:rPr>
        <w:t>清洁工具的存放宜设置独立隔间、区域或设施，其位置不得污染食品，并有明显的区分标识。</w:t>
      </w:r>
    </w:p>
    <w:p>
      <w:pPr>
        <w:pStyle w:val="72"/>
        <w:bidi w:val="0"/>
      </w:pPr>
      <w:r>
        <w:rPr>
          <w:rFonts w:hint="eastAsia"/>
        </w:rPr>
        <w:t>使用燃煤或者木炭等固体燃料加工食品，应设置隔墙烧火的外扒灰式炉灶。</w:t>
      </w:r>
    </w:p>
    <w:p>
      <w:pPr>
        <w:pStyle w:val="51"/>
        <w:spacing w:before="156" w:after="156"/>
      </w:pPr>
      <w:r>
        <w:rPr>
          <w:rFonts w:hint="eastAsia"/>
        </w:rPr>
        <w:t>功能分区</w:t>
      </w:r>
    </w:p>
    <w:p>
      <w:pPr>
        <w:pStyle w:val="55"/>
        <w:spacing w:before="156" w:after="156"/>
      </w:pPr>
      <w:r>
        <w:rPr>
          <w:rFonts w:hint="eastAsia"/>
        </w:rPr>
        <w:t>食品处理区</w:t>
      </w:r>
    </w:p>
    <w:p>
      <w:pPr>
        <w:pStyle w:val="23"/>
      </w:pPr>
      <w:r>
        <w:rPr>
          <w:rFonts w:hint="eastAsia"/>
        </w:rPr>
        <w:t>由清洁操作区、准清洁操作区、一般清洁操作区构成，空气流向由清洁操作区流向准清洁操作区和一般清洁操作区。具备粗加工间、切配间、烹饪场所、面点间、预进间、备餐间、主食原料库、副食原料库、洗消间等，条件不具备的应划定专用区域。预进间应设置在备餐间入口处。</w:t>
      </w:r>
      <w:r>
        <w:rPr>
          <w:rFonts w:hint="eastAsia" w:asciiTheme="minorEastAsia" w:hAnsiTheme="minorEastAsia" w:eastAsiaTheme="minorEastAsia"/>
        </w:rPr>
        <w:t>洗消间与餐具回收口相连。</w:t>
      </w:r>
      <w:r>
        <w:rPr>
          <w:rFonts w:hint="eastAsia"/>
        </w:rPr>
        <w:t>原料库应分开设置食品和非食品库房，不会导致食品污染的食品容器、包装材料、工具等物品除外。</w:t>
      </w:r>
    </w:p>
    <w:p>
      <w:pPr>
        <w:pStyle w:val="55"/>
        <w:spacing w:before="156" w:after="156"/>
      </w:pPr>
      <w:r>
        <w:rPr>
          <w:rFonts w:hint="eastAsia"/>
        </w:rPr>
        <w:t>非食品处理区</w:t>
      </w:r>
    </w:p>
    <w:p>
      <w:pPr>
        <w:pStyle w:val="23"/>
      </w:pPr>
      <w:r>
        <w:rPr>
          <w:rFonts w:hint="eastAsia"/>
        </w:rPr>
        <w:t>具备就餐场所、办公室、更衣间、卫生间、非食品库房等。</w:t>
      </w:r>
    </w:p>
    <w:p>
      <w:pPr>
        <w:pStyle w:val="51"/>
        <w:spacing w:before="156" w:after="156"/>
      </w:pPr>
      <w:r>
        <w:rPr>
          <w:rFonts w:hint="eastAsia"/>
        </w:rPr>
        <w:t>结构</w:t>
      </w:r>
    </w:p>
    <w:p>
      <w:pPr>
        <w:pStyle w:val="55"/>
        <w:spacing w:before="156" w:after="156"/>
      </w:pPr>
      <w:r>
        <w:rPr>
          <w:rFonts w:hint="eastAsia"/>
        </w:rPr>
        <w:t>天花板</w:t>
      </w:r>
    </w:p>
    <w:p>
      <w:pPr>
        <w:pStyle w:val="122"/>
        <w:spacing w:before="0" w:after="0"/>
        <w:rPr>
          <w:color w:val="auto"/>
        </w:rPr>
      </w:pPr>
      <w:r>
        <w:rPr>
          <w:rFonts w:hint="eastAsia"/>
        </w:rPr>
        <w:t>天花板的涂覆或装修</w:t>
      </w:r>
      <w:r>
        <w:rPr>
          <w:rFonts w:hint="eastAsia"/>
          <w:color w:val="auto"/>
        </w:rPr>
        <w:t>材料无毒、无异味、不吸水、易清洁。天花板无裂缝、无破损，无霉斑、无灰尘积聚、无有害生物隐置。具备防止鼠类等有害生物掉落的条件和管理措施。</w:t>
      </w:r>
    </w:p>
    <w:p>
      <w:pPr>
        <w:pStyle w:val="122"/>
        <w:spacing w:before="0" w:after="0"/>
        <w:rPr>
          <w:color w:val="auto"/>
        </w:rPr>
      </w:pPr>
      <w:r>
        <w:rPr>
          <w:rFonts w:hint="eastAsia"/>
          <w:color w:val="auto"/>
        </w:rPr>
        <w:t>天花板宜距离地面 2.5 m以上。</w:t>
      </w:r>
    </w:p>
    <w:p>
      <w:pPr>
        <w:pStyle w:val="122"/>
        <w:spacing w:before="0" w:after="0"/>
        <w:rPr>
          <w:color w:val="auto"/>
        </w:rPr>
      </w:pPr>
      <w:r>
        <w:rPr>
          <w:rFonts w:hint="eastAsia"/>
          <w:color w:val="auto"/>
        </w:rPr>
        <w:t>食品处理区天花板的涂覆或装修材料耐高温、耐腐蚀，天花板与横梁或墙壁结合处宜有一定弧度，水蒸汽较多区域的天花板有适当坡度，清洁操作区、准清洁操作区及其他半成品、成品暴露区域的天花板平整。</w:t>
      </w:r>
    </w:p>
    <w:p>
      <w:pPr>
        <w:pStyle w:val="55"/>
        <w:spacing w:before="156" w:after="156"/>
        <w:rPr>
          <w:color w:val="auto"/>
        </w:rPr>
      </w:pPr>
      <w:r>
        <w:rPr>
          <w:rFonts w:hint="eastAsia"/>
          <w:color w:val="auto"/>
        </w:rPr>
        <w:t>墙壁</w:t>
      </w:r>
    </w:p>
    <w:p>
      <w:pPr>
        <w:pStyle w:val="122"/>
        <w:spacing w:before="0" w:after="0"/>
      </w:pPr>
      <w:r>
        <w:rPr>
          <w:rFonts w:hint="eastAsia"/>
        </w:rPr>
        <w:t>食品处理区墙壁平滑、无裂缝、无破损、无菌斑、无积垢，墙壁的涂覆或铺设材料无毒、无异味、不透水。</w:t>
      </w:r>
    </w:p>
    <w:p>
      <w:pPr>
        <w:pStyle w:val="122"/>
        <w:spacing w:before="0" w:after="0"/>
      </w:pPr>
      <w:r>
        <w:rPr>
          <w:rFonts w:hint="eastAsia"/>
        </w:rPr>
        <w:t>粗加工制作、切配、烹饪和餐用具清洗消毒等需要经常冲洗的场所(以下简称：需经常冲洗的场所)应铺设1.5 m以上浅色、不吸水、易清洗的墙裙，各类专间的墙裙应铺设到墙顶。</w:t>
      </w:r>
    </w:p>
    <w:p>
      <w:pPr>
        <w:pStyle w:val="55"/>
        <w:spacing w:before="156" w:after="156"/>
      </w:pPr>
      <w:r>
        <w:rPr>
          <w:rFonts w:hint="eastAsia"/>
        </w:rPr>
        <w:t>门窗</w:t>
      </w:r>
    </w:p>
    <w:p>
      <w:pPr>
        <w:pStyle w:val="122"/>
        <w:spacing w:before="0" w:after="0"/>
      </w:pPr>
      <w:r>
        <w:rPr>
          <w:rFonts w:hint="eastAsia"/>
        </w:rPr>
        <w:t>食品处理区的门、窗闭合严密、无变形、无破损。与外界直接相通的门和可开启的窗应设置易拆洗、不易生锈的防蝇纱网或空气罩。与外界直接相通的门能自动关闭。</w:t>
      </w:r>
    </w:p>
    <w:p>
      <w:pPr>
        <w:pStyle w:val="122"/>
        <w:spacing w:before="0" w:after="0"/>
      </w:pPr>
      <w:r>
        <w:rPr>
          <w:rFonts w:hint="eastAsia"/>
        </w:rPr>
        <w:t>需经常冲洗的场所及各类专间的门应坚固、不吸水、易清洗。</w:t>
      </w:r>
    </w:p>
    <w:p>
      <w:pPr>
        <w:pStyle w:val="122"/>
        <w:spacing w:before="0" w:after="0"/>
      </w:pPr>
      <w:r>
        <w:rPr>
          <w:rFonts w:hint="eastAsia"/>
        </w:rPr>
        <w:t>专间的门、窗闭合严密、无变形、无破损。专间的门能自动关闭。除传递食品以外的专间窗户为封闭式。专间内外运送食品的窗口应专用、可开闭，大小以可通过运送食品的容器为准。</w:t>
      </w:r>
    </w:p>
    <w:p>
      <w:pPr>
        <w:pStyle w:val="55"/>
        <w:spacing w:before="156" w:after="156"/>
      </w:pPr>
      <w:r>
        <w:rPr>
          <w:rFonts w:hint="eastAsia"/>
        </w:rPr>
        <w:t>地面</w:t>
      </w:r>
    </w:p>
    <w:p>
      <w:pPr>
        <w:rPr>
          <w:rStyle w:val="50"/>
        </w:rPr>
      </w:pPr>
      <w:r>
        <w:rPr>
          <w:rFonts w:hint="eastAsia"/>
        </w:rPr>
        <w:t xml:space="preserve">    </w:t>
      </w:r>
      <w:r>
        <w:rPr>
          <w:rStyle w:val="50"/>
          <w:rFonts w:hint="eastAsia"/>
        </w:rPr>
        <w:t>地面平整、无裂缝、无破损、无积水积垢。食品处理区地面的铺设材料应无毒、无异味、不透水、耐腐蚀。清洁操作区地面无明沟，地漏带水封。</w:t>
      </w:r>
    </w:p>
    <w:p>
      <w:pPr>
        <w:pStyle w:val="54"/>
        <w:spacing w:before="312" w:after="312"/>
      </w:pPr>
      <w:bookmarkStart w:id="33" w:name="_Toc5417_WPSOffice_Level1"/>
      <w:r>
        <w:rPr>
          <w:rFonts w:hint="eastAsia"/>
        </w:rPr>
        <w:t>设施设备</w:t>
      </w:r>
      <w:bookmarkEnd w:id="33"/>
    </w:p>
    <w:p>
      <w:pPr>
        <w:pStyle w:val="51"/>
        <w:spacing w:before="156" w:after="156"/>
      </w:pPr>
      <w:r>
        <w:rPr>
          <w:rFonts w:hint="eastAsia"/>
        </w:rPr>
        <w:t>食品处理区</w:t>
      </w:r>
    </w:p>
    <w:p>
      <w:pPr>
        <w:pStyle w:val="55"/>
        <w:spacing w:before="156" w:after="156"/>
      </w:pPr>
      <w:r>
        <w:rPr>
          <w:rFonts w:hint="eastAsia"/>
        </w:rPr>
        <w:t>加工制作设备设施</w:t>
      </w:r>
    </w:p>
    <w:p>
      <w:pPr>
        <w:pStyle w:val="122"/>
        <w:bidi w:val="0"/>
      </w:pPr>
      <w:r>
        <w:rPr>
          <w:rFonts w:hint="eastAsia"/>
        </w:rPr>
        <w:t>根据加工制作食品的需要配备相应的设施、设备、容器、工具等。不得将加工制作食品的设施、设备、容器、工具用于与加工制作食品无关的用途。</w:t>
      </w:r>
    </w:p>
    <w:p>
      <w:pPr>
        <w:pStyle w:val="122"/>
        <w:bidi w:val="0"/>
      </w:pPr>
      <w:r>
        <w:rPr>
          <w:rFonts w:hint="eastAsia"/>
        </w:rPr>
        <w:t>设备的摆放位置应便于操作、清洁、维护和减少交叉污染。固定安装的设备设施应安装牢固，与地面、墙壁无缝隙或保留足够的清洁、维护空间。</w:t>
      </w:r>
    </w:p>
    <w:p>
      <w:pPr>
        <w:pStyle w:val="122"/>
        <w:bidi w:val="0"/>
      </w:pPr>
      <w:r>
        <w:rPr>
          <w:rFonts w:hint="eastAsia"/>
        </w:rPr>
        <w:t>设备、容器和工具与食品的接触面应平滑、无凹陷或裂缝，内部角落部位避免有尖角，便于清洁，防止聚积食品碎屑、污垢等。</w:t>
      </w:r>
    </w:p>
    <w:p>
      <w:pPr>
        <w:pStyle w:val="55"/>
        <w:spacing w:before="156" w:after="156"/>
      </w:pPr>
      <w:r>
        <w:rPr>
          <w:rFonts w:hint="eastAsia"/>
        </w:rPr>
        <w:t>洗手设施</w:t>
      </w:r>
    </w:p>
    <w:p>
      <w:pPr>
        <w:pStyle w:val="122"/>
        <w:bidi w:val="0"/>
        <w:rPr>
          <w:color w:val="auto"/>
        </w:rPr>
      </w:pPr>
      <w:r>
        <w:rPr>
          <w:rFonts w:hint="eastAsia"/>
        </w:rPr>
        <w:t>应设置足够数量的洗手设施，洗手池应不透</w:t>
      </w:r>
      <w:r>
        <w:rPr>
          <w:rFonts w:hint="eastAsia"/>
          <w:color w:val="auto"/>
        </w:rPr>
        <w:t>水，不易积垢，易清洁。</w:t>
      </w:r>
    </w:p>
    <w:p>
      <w:pPr>
        <w:pStyle w:val="122"/>
        <w:bidi w:val="0"/>
        <w:rPr>
          <w:color w:val="auto"/>
        </w:rPr>
      </w:pPr>
      <w:r>
        <w:rPr>
          <w:rFonts w:hint="eastAsia"/>
          <w:color w:val="auto"/>
        </w:rPr>
        <w:t>水龙头宜采用脚踏式、肘动式、感应式等非手触式开关。宜设置热水器，提供温水。</w:t>
      </w:r>
    </w:p>
    <w:p>
      <w:pPr>
        <w:pStyle w:val="122"/>
        <w:bidi w:val="0"/>
        <w:rPr>
          <w:color w:val="auto"/>
        </w:rPr>
      </w:pPr>
      <w:r>
        <w:rPr>
          <w:rFonts w:hint="eastAsia" w:asciiTheme="minorEastAsia" w:hAnsiTheme="minorEastAsia" w:eastAsiaTheme="minorEastAsia" w:cstheme="minorEastAsia"/>
          <w:color w:val="auto"/>
        </w:rPr>
        <w:t>洗手设施附近配备洗手用品和干手设施等，洗手设施附近应有简明易懂的洗手方法。</w:t>
      </w:r>
    </w:p>
    <w:p>
      <w:pPr>
        <w:pStyle w:val="55"/>
        <w:spacing w:before="156" w:after="156"/>
        <w:rPr>
          <w:color w:val="auto"/>
        </w:rPr>
      </w:pPr>
      <w:r>
        <w:rPr>
          <w:rFonts w:hint="eastAsia"/>
          <w:color w:val="auto"/>
        </w:rPr>
        <w:t>粗加工、切配间</w:t>
      </w:r>
    </w:p>
    <w:p>
      <w:pPr>
        <w:pStyle w:val="23"/>
        <w:rPr>
          <w:color w:val="auto"/>
        </w:rPr>
      </w:pPr>
      <w:r>
        <w:rPr>
          <w:rFonts w:hint="eastAsia"/>
          <w:color w:val="auto"/>
        </w:rPr>
        <w:t>分别设置肉、蔬菜、水产品的清洗池，并有明显标识；加工肉、蔬菜、水产品的操作台、用具、容器应分开、专用，并有明显标识。</w:t>
      </w:r>
    </w:p>
    <w:p>
      <w:pPr>
        <w:pStyle w:val="55"/>
        <w:spacing w:before="156" w:after="156"/>
      </w:pPr>
      <w:r>
        <w:rPr>
          <w:rFonts w:hint="eastAsia"/>
        </w:rPr>
        <w:t>烹饪场所</w:t>
      </w:r>
    </w:p>
    <w:p>
      <w:pPr>
        <w:pStyle w:val="23"/>
      </w:pPr>
      <w:r>
        <w:rPr>
          <w:rFonts w:hint="eastAsia"/>
        </w:rPr>
        <w:t>应设置足够数量的操作台，能满足荤素、生熟、成品、半成品分开的要求，并有明显标识；用于原料、半成品、成品的用具、容器应分开使用，标志明显。</w:t>
      </w:r>
    </w:p>
    <w:p>
      <w:pPr>
        <w:pStyle w:val="55"/>
        <w:spacing w:before="156" w:after="156"/>
      </w:pPr>
      <w:r>
        <w:rPr>
          <w:rFonts w:hint="eastAsia"/>
        </w:rPr>
        <w:t>面点间</w:t>
      </w:r>
    </w:p>
    <w:p>
      <w:pPr>
        <w:pStyle w:val="23"/>
      </w:pPr>
      <w:r>
        <w:rPr>
          <w:rFonts w:hint="eastAsia"/>
        </w:rPr>
        <w:t>应设置足够数量的操作台、食品架、用具、容器、有明显标识。</w:t>
      </w:r>
    </w:p>
    <w:p>
      <w:pPr>
        <w:pStyle w:val="55"/>
        <w:spacing w:before="156" w:after="156"/>
      </w:pPr>
      <w:r>
        <w:rPr>
          <w:rFonts w:hint="eastAsia"/>
        </w:rPr>
        <w:t>预进间</w:t>
      </w:r>
    </w:p>
    <w:p>
      <w:pPr>
        <w:pStyle w:val="23"/>
      </w:pPr>
      <w:r>
        <w:rPr>
          <w:rFonts w:hint="eastAsia"/>
        </w:rPr>
        <w:t>设置洗手设备，更衣柜等。</w:t>
      </w:r>
    </w:p>
    <w:p>
      <w:pPr>
        <w:pStyle w:val="55"/>
        <w:spacing w:before="156" w:after="156"/>
      </w:pPr>
      <w:r>
        <w:rPr>
          <w:rFonts w:hint="eastAsia"/>
        </w:rPr>
        <w:t>备餐间</w:t>
      </w:r>
    </w:p>
    <w:p>
      <w:pPr>
        <w:pStyle w:val="23"/>
        <w:bidi w:val="0"/>
      </w:pPr>
      <w:r>
        <w:rPr>
          <w:rFonts w:hint="eastAsia"/>
        </w:rPr>
        <w:t>距离地面 2 m 设置紫外线灯。食品传达窗、售饭窗为开闭式，其他窗封闭；售饭台面应为不锈钢、石材贴面等易清洁、不易腐蚀材料，符合国家卫生要求，宜配保温设施。使用专用的设备、工具、容器前应消毒，用后应洗净并保持清洁。</w:t>
      </w:r>
    </w:p>
    <w:p>
      <w:pPr>
        <w:pStyle w:val="55"/>
        <w:spacing w:before="156" w:after="156"/>
      </w:pPr>
      <w:r>
        <w:rPr>
          <w:rFonts w:hint="eastAsia"/>
        </w:rPr>
        <w:t>原料库</w:t>
      </w:r>
    </w:p>
    <w:p>
      <w:pPr>
        <w:pStyle w:val="23"/>
      </w:pPr>
      <w:r>
        <w:rPr>
          <w:rFonts w:hint="eastAsia"/>
        </w:rPr>
        <w:t>应具备机械通风、不低于 5</w:t>
      </w:r>
      <w:r>
        <w:t>0cm</w:t>
      </w:r>
      <w:r>
        <w:rPr>
          <w:rFonts w:hint="eastAsia"/>
        </w:rPr>
        <w:t xml:space="preserve"> 防鼠板和温、湿度检测器具；门与地面的缝隙不大于</w:t>
      </w:r>
      <w:r>
        <w:t> 1 cm</w:t>
      </w:r>
      <w:r>
        <w:rPr>
          <w:rFonts w:hint="eastAsia"/>
        </w:rPr>
        <w:t>；配备足够数量的货架；配备冷藏、冷冻柜（库）的数量和结构设置应能满足原料、半成品和成品分开存放，且有明显区分标识和可正确显示柜（库）内温度的温度计。</w:t>
      </w:r>
    </w:p>
    <w:p>
      <w:pPr>
        <w:pStyle w:val="55"/>
        <w:spacing w:before="156" w:after="156"/>
      </w:pPr>
      <w:r>
        <w:rPr>
          <w:rFonts w:hint="eastAsia"/>
        </w:rPr>
        <w:t>洗消间</w:t>
      </w:r>
    </w:p>
    <w:p>
      <w:pPr>
        <w:pStyle w:val="122"/>
        <w:bidi w:val="0"/>
      </w:pPr>
      <w:r>
        <w:rPr>
          <w:rFonts w:hint="eastAsia"/>
        </w:rPr>
        <w:t>各类水池标识明显，清洗、消毒水池应使用不锈钢或陶瓷等不透水、不易积垢易于清洗的材料。清洗、消毒水池应专用，与食品原料、清洁用具及接触非直接入口食品的工具、容器清洗水池分开。</w:t>
      </w:r>
    </w:p>
    <w:p>
      <w:pPr>
        <w:pStyle w:val="122"/>
        <w:bidi w:val="0"/>
      </w:pPr>
      <w:r>
        <w:rPr>
          <w:rFonts w:hint="eastAsia"/>
        </w:rPr>
        <w:t>配备专供存放消毒后餐用具的保洁设施，标识明显、结构密闭，易于清洁。</w:t>
      </w:r>
    </w:p>
    <w:p>
      <w:pPr>
        <w:pStyle w:val="122"/>
        <w:bidi w:val="0"/>
      </w:pPr>
      <w:r>
        <w:rPr>
          <w:rFonts w:hint="eastAsia"/>
        </w:rPr>
        <w:t>宜采用热力消毒。采用化学消毒的，至少应设有3个专用水池；采用人工清洗热力消毒的可设置2个专用水池。</w:t>
      </w:r>
    </w:p>
    <w:p>
      <w:pPr>
        <w:pStyle w:val="122"/>
        <w:bidi w:val="0"/>
      </w:pPr>
      <w:r>
        <w:rPr>
          <w:rFonts w:hint="eastAsia"/>
        </w:rPr>
        <w:t>清洗、消毒使用的洗涤剂、消毒剂应符合GB 14930.1和GB 14930.2中的规定，并存放在专用设施内。</w:t>
      </w:r>
    </w:p>
    <w:p>
      <w:pPr>
        <w:pStyle w:val="51"/>
        <w:spacing w:before="156" w:after="156"/>
      </w:pPr>
      <w:r>
        <w:rPr>
          <w:rFonts w:hint="eastAsia"/>
        </w:rPr>
        <w:t>非食品处理区</w:t>
      </w:r>
    </w:p>
    <w:p>
      <w:pPr>
        <w:pStyle w:val="55"/>
        <w:spacing w:before="156" w:after="156"/>
      </w:pPr>
      <w:r>
        <w:rPr>
          <w:rFonts w:hint="eastAsia"/>
        </w:rPr>
        <w:t>就餐场所</w:t>
      </w:r>
    </w:p>
    <w:p>
      <w:pPr>
        <w:pStyle w:val="122"/>
        <w:bidi w:val="0"/>
      </w:pPr>
      <w:r>
        <w:rPr>
          <w:rFonts w:hint="eastAsia"/>
        </w:rPr>
        <w:t>应配备餐桌椅、剩菜饭容器等设施，设置洗手设施、餐具回收处，回收通道应与洗消间相通。售饭窗口前不得设置有碍师生疏散的设施。</w:t>
      </w:r>
    </w:p>
    <w:p>
      <w:pPr>
        <w:pStyle w:val="122"/>
        <w:bidi w:val="0"/>
        <w:rPr>
          <w:color w:val="auto"/>
        </w:rPr>
      </w:pPr>
      <w:r>
        <w:rPr>
          <w:rFonts w:hint="eastAsia"/>
        </w:rPr>
        <w:t>张贴安全提示标识和宣传食品</w:t>
      </w:r>
      <w:r>
        <w:rPr>
          <w:rFonts w:hint="eastAsia"/>
          <w:color w:val="auto"/>
        </w:rPr>
        <w:t>安全、均衡营养、健康饮食、厉行节约等内容的资料。</w:t>
      </w:r>
    </w:p>
    <w:p>
      <w:pPr>
        <w:pStyle w:val="55"/>
        <w:spacing w:before="156" w:after="156"/>
        <w:rPr>
          <w:color w:val="auto"/>
        </w:rPr>
      </w:pPr>
      <w:r>
        <w:rPr>
          <w:rFonts w:hint="eastAsia"/>
          <w:color w:val="auto"/>
        </w:rPr>
        <w:t>卫生间</w:t>
      </w:r>
    </w:p>
    <w:p>
      <w:pPr>
        <w:pStyle w:val="23"/>
        <w:rPr>
          <w:color w:val="auto"/>
        </w:rPr>
      </w:pPr>
      <w:r>
        <w:rPr>
          <w:rFonts w:hint="eastAsia"/>
          <w:color w:val="auto"/>
        </w:rPr>
        <w:t>便槽应采用水冲式，出口附近设置洗手设施。地面、墙壁、便槽等采用不透水、易清洗、不易积垢的材料，门不能与食品处理区相通。设独立排气装置，排风口不应直接对食品处理区或就餐区。有适当照明，与外界相通的窗户设置纱窗或为封闭式，外门能自动关闭。</w:t>
      </w:r>
    </w:p>
    <w:p>
      <w:pPr>
        <w:pStyle w:val="60"/>
        <w:spacing w:before="156" w:after="156"/>
        <w:rPr>
          <w:color w:val="auto"/>
        </w:rPr>
      </w:pPr>
      <w:r>
        <w:rPr>
          <w:rFonts w:hint="eastAsia"/>
          <w:color w:val="auto"/>
        </w:rPr>
        <w:t>更衣室</w:t>
      </w:r>
    </w:p>
    <w:p>
      <w:pPr>
        <w:pStyle w:val="23"/>
        <w:rPr>
          <w:color w:val="auto"/>
        </w:rPr>
      </w:pPr>
      <w:r>
        <w:rPr>
          <w:rFonts w:hint="eastAsia"/>
          <w:color w:val="auto"/>
        </w:rPr>
        <w:t>应与食品处理区在同一建筑物内，处于食品处理区入口处，为独立隔间，男女分设。设置洗手、通风、照明设施以及员工个人物品储物柜。</w:t>
      </w:r>
    </w:p>
    <w:p>
      <w:pPr>
        <w:pStyle w:val="51"/>
        <w:spacing w:before="156" w:after="156"/>
        <w:rPr>
          <w:color w:val="auto"/>
        </w:rPr>
      </w:pPr>
      <w:r>
        <w:rPr>
          <w:rFonts w:hint="eastAsia"/>
          <w:color w:val="auto"/>
        </w:rPr>
        <w:t>工作服</w:t>
      </w:r>
    </w:p>
    <w:p>
      <w:pPr>
        <w:pStyle w:val="23"/>
        <w:rPr>
          <w:color w:val="auto"/>
        </w:rPr>
      </w:pPr>
      <w:r>
        <w:rPr>
          <w:rFonts w:hint="eastAsia"/>
          <w:color w:val="auto"/>
        </w:rPr>
        <w:t>应根据加工品种和岗位配备专用工作服，如工作衣、帽、发网等，必要时配备口罩、围裙、套袖、手套等。操作中应保持清洁。专间、专区专用工作服应与其他区域工作服有明显区分。</w:t>
      </w:r>
    </w:p>
    <w:p>
      <w:pPr>
        <w:pStyle w:val="51"/>
        <w:spacing w:before="156" w:after="156"/>
        <w:rPr>
          <w:color w:val="auto"/>
        </w:rPr>
      </w:pPr>
      <w:r>
        <w:rPr>
          <w:rFonts w:hint="eastAsia"/>
          <w:color w:val="auto"/>
        </w:rPr>
        <w:t xml:space="preserve">供水排水设施 </w:t>
      </w:r>
    </w:p>
    <w:p>
      <w:pPr>
        <w:pStyle w:val="72"/>
        <w:spacing w:before="0" w:after="0"/>
        <w:rPr>
          <w:color w:val="auto"/>
        </w:rPr>
      </w:pPr>
      <w:r>
        <w:rPr>
          <w:rFonts w:hint="eastAsia"/>
          <w:color w:val="auto"/>
        </w:rPr>
        <w:t>食品加工制作用水的水质应符合GB</w:t>
      </w:r>
      <w:r>
        <w:rPr>
          <w:rFonts w:hint="eastAsia"/>
          <w:color w:val="auto"/>
          <w:lang w:val="en-US" w:eastAsia="zh-CN"/>
        </w:rPr>
        <w:t xml:space="preserve"> </w:t>
      </w:r>
      <w:r>
        <w:rPr>
          <w:rFonts w:hint="eastAsia"/>
          <w:color w:val="auto"/>
        </w:rPr>
        <w:t>5749的规定，与冷却水、污水、废水等非饮用水管道系统完全分离，可见部分应以不同颜色明显区分，不得有逆流或者相互交接现象。</w:t>
      </w:r>
    </w:p>
    <w:p>
      <w:pPr>
        <w:pStyle w:val="72"/>
        <w:spacing w:before="0" w:after="0"/>
        <w:rPr>
          <w:color w:val="auto"/>
        </w:rPr>
      </w:pPr>
      <w:r>
        <w:rPr>
          <w:rFonts w:hint="eastAsia"/>
          <w:color w:val="auto"/>
        </w:rPr>
        <w:t>排水沟应有坡度，沟内不应设置其他管路，侧面和底面接合处应有一定弧度，并设有可拆卸的盖板。排水的流向应由高清洁操作区流向低清洁操作区，防止污水逆流。排水沟出口应有符合9.4.2.1要求的防止有害动物侵入的设施。</w:t>
      </w:r>
    </w:p>
    <w:p>
      <w:pPr>
        <w:pStyle w:val="51"/>
        <w:spacing w:before="156" w:after="156"/>
        <w:rPr>
          <w:color w:val="auto"/>
        </w:rPr>
      </w:pPr>
      <w:r>
        <w:rPr>
          <w:rFonts w:hint="eastAsia"/>
          <w:color w:val="auto"/>
        </w:rPr>
        <w:t>通风排烟设施</w:t>
      </w:r>
    </w:p>
    <w:p>
      <w:pPr>
        <w:pStyle w:val="72"/>
        <w:spacing w:before="0" w:after="0"/>
        <w:rPr>
          <w:color w:val="auto"/>
        </w:rPr>
      </w:pPr>
      <w:r>
        <w:rPr>
          <w:rFonts w:hint="eastAsia"/>
          <w:color w:val="auto"/>
        </w:rPr>
        <w:t>食品处理区(冷冻库、冷藏库除外)和就餐区应保持空气流通。专间应设立独立的空调设施。应定期清洁消毒空调及通风设施。</w:t>
      </w:r>
    </w:p>
    <w:p>
      <w:pPr>
        <w:pStyle w:val="72"/>
        <w:spacing w:before="0" w:after="0"/>
        <w:rPr>
          <w:color w:val="auto"/>
        </w:rPr>
      </w:pPr>
      <w:r>
        <w:rPr>
          <w:rFonts w:hint="eastAsia"/>
          <w:color w:val="auto"/>
        </w:rPr>
        <w:t>产生油烟的设备、工序上方设置机械排风及油烟过滤装置，过滤器便于清洁、更换。</w:t>
      </w:r>
    </w:p>
    <w:p>
      <w:pPr>
        <w:pStyle w:val="72"/>
        <w:spacing w:before="0" w:after="0"/>
        <w:rPr>
          <w:color w:val="auto"/>
        </w:rPr>
      </w:pPr>
      <w:r>
        <w:rPr>
          <w:rFonts w:hint="eastAsia"/>
          <w:color w:val="auto"/>
        </w:rPr>
        <w:t>产生大量蒸汽的设备、工序上方设置机械排风排汽装置，并做好凝结水的引泄。</w:t>
      </w:r>
    </w:p>
    <w:p>
      <w:pPr>
        <w:pStyle w:val="72"/>
        <w:spacing w:before="0" w:after="0"/>
        <w:rPr>
          <w:color w:val="auto"/>
        </w:rPr>
      </w:pPr>
      <w:r>
        <w:rPr>
          <w:rFonts w:hint="eastAsia"/>
          <w:color w:val="auto"/>
        </w:rPr>
        <w:t>排气口设有易清洗、耐腐蚀并符合9.4.2.1要求的防止有害生物侵入的网罩。</w:t>
      </w:r>
    </w:p>
    <w:p>
      <w:pPr>
        <w:pStyle w:val="51"/>
        <w:spacing w:before="156" w:after="156"/>
        <w:rPr>
          <w:color w:val="auto"/>
        </w:rPr>
      </w:pPr>
      <w:r>
        <w:rPr>
          <w:rFonts w:hint="eastAsia"/>
          <w:color w:val="auto"/>
        </w:rPr>
        <w:t>照明设施</w:t>
      </w:r>
    </w:p>
    <w:p>
      <w:pPr>
        <w:pStyle w:val="72"/>
        <w:spacing w:before="0" w:after="0"/>
        <w:rPr>
          <w:color w:val="auto"/>
        </w:rPr>
      </w:pPr>
      <w:r>
        <w:rPr>
          <w:rFonts w:hint="eastAsia"/>
          <w:color w:val="auto"/>
        </w:rPr>
        <w:t>学生食堂内应有充足的天然采光或人工照明，光源应不改变食品的感官色泽。</w:t>
      </w:r>
    </w:p>
    <w:p>
      <w:pPr>
        <w:pStyle w:val="72"/>
        <w:spacing w:before="0" w:after="0"/>
        <w:rPr>
          <w:color w:val="auto"/>
        </w:rPr>
      </w:pPr>
      <w:r>
        <w:rPr>
          <w:rFonts w:hint="eastAsia"/>
          <w:color w:val="auto"/>
        </w:rPr>
        <w:t>安装在暴露食品正上方的照明设施应使用防护罩。冷冻（藏）库房应使用防爆灯。</w:t>
      </w:r>
    </w:p>
    <w:p>
      <w:pPr>
        <w:pStyle w:val="72"/>
        <w:spacing w:before="0" w:after="0"/>
        <w:rPr>
          <w:color w:val="auto"/>
        </w:rPr>
      </w:pPr>
      <w:r>
        <w:rPr>
          <w:rFonts w:hint="eastAsia"/>
          <w:color w:val="auto"/>
        </w:rPr>
        <w:t>电源进线应留有一定余量。配电箱留有一定数量的备用回路及插座。电气设备、灯具、管路应有防潮措施。</w:t>
      </w:r>
    </w:p>
    <w:p>
      <w:pPr>
        <w:pStyle w:val="72"/>
        <w:spacing w:before="0" w:after="0"/>
        <w:rPr>
          <w:color w:val="auto"/>
        </w:rPr>
      </w:pPr>
      <w:r>
        <w:rPr>
          <w:rFonts w:hint="eastAsia"/>
          <w:color w:val="auto"/>
        </w:rPr>
        <w:t>环境潮湿的场地应安装漏电保护器。</w:t>
      </w:r>
    </w:p>
    <w:p>
      <w:pPr>
        <w:pStyle w:val="51"/>
        <w:spacing w:before="156" w:after="156"/>
        <w:rPr>
          <w:color w:val="auto"/>
        </w:rPr>
      </w:pPr>
      <w:r>
        <w:rPr>
          <w:rFonts w:hint="eastAsia"/>
          <w:color w:val="auto"/>
        </w:rPr>
        <w:t>消防设施</w:t>
      </w:r>
    </w:p>
    <w:p>
      <w:pPr>
        <w:pStyle w:val="72"/>
        <w:spacing w:before="0" w:after="0"/>
        <w:rPr>
          <w:color w:val="000000" w:themeColor="text1"/>
        </w:rPr>
      </w:pPr>
      <w:r>
        <w:rPr>
          <w:rFonts w:hint="eastAsia"/>
          <w:color w:val="auto"/>
        </w:rPr>
        <w:t>应按照 GB 50016 要求配置消防设施、器材和应急照明设</w:t>
      </w:r>
      <w:r>
        <w:rPr>
          <w:rFonts w:hint="eastAsia"/>
          <w:color w:val="000000" w:themeColor="text1"/>
        </w:rPr>
        <w:t>施，应安装漏气、漏电、火灾等探测报警器。</w:t>
      </w:r>
    </w:p>
    <w:p>
      <w:pPr>
        <w:pStyle w:val="72"/>
        <w:spacing w:before="0" w:after="0"/>
        <w:rPr>
          <w:color w:val="000000" w:themeColor="text1"/>
        </w:rPr>
      </w:pPr>
      <w:r>
        <w:rPr>
          <w:rFonts w:hint="eastAsia"/>
          <w:color w:val="000000" w:themeColor="text1"/>
        </w:rPr>
        <w:t>应按照 GB 2894和GB 13495.1中的要求设置消防安全疏散指示标志。</w:t>
      </w:r>
    </w:p>
    <w:p>
      <w:pPr>
        <w:pStyle w:val="72"/>
        <w:spacing w:before="0" w:after="0"/>
        <w:rPr>
          <w:color w:val="000000" w:themeColor="text1"/>
        </w:rPr>
      </w:pPr>
      <w:r>
        <w:rPr>
          <w:rFonts w:hint="eastAsia"/>
          <w:color w:val="000000" w:themeColor="text1"/>
        </w:rPr>
        <w:t>学校新建学生食堂或对旧食堂进行改建、扩建、装修、装饰等活动要依法办理建设工程消防设计审核、消防验收或备案手续。</w:t>
      </w:r>
    </w:p>
    <w:p>
      <w:pPr>
        <w:pStyle w:val="51"/>
        <w:spacing w:before="156" w:after="156"/>
      </w:pPr>
      <w:r>
        <w:rPr>
          <w:rFonts w:hint="eastAsia"/>
        </w:rPr>
        <w:t>电子监控设备</w:t>
      </w:r>
    </w:p>
    <w:p>
      <w:pPr>
        <w:pStyle w:val="72"/>
        <w:spacing w:before="0" w:after="0"/>
      </w:pPr>
      <w:r>
        <w:rPr>
          <w:rFonts w:hint="eastAsia"/>
        </w:rPr>
        <w:t>应安装电子监控系统，在每个重要功能间（区）安装全覆盖高清摄像头。</w:t>
      </w:r>
      <w:r>
        <w:t> </w:t>
      </w:r>
    </w:p>
    <w:p>
      <w:pPr>
        <w:pStyle w:val="72"/>
        <w:spacing w:before="0" w:after="0"/>
      </w:pPr>
      <w:r>
        <w:rPr>
          <w:rFonts w:hint="eastAsia"/>
        </w:rPr>
        <w:t>应设监控显示屏、平板电视或其他监控平台，电子监控系统实现网络互联互通。</w:t>
      </w:r>
    </w:p>
    <w:p>
      <w:pPr>
        <w:pStyle w:val="54"/>
        <w:spacing w:before="312" w:after="312"/>
      </w:pPr>
      <w:bookmarkStart w:id="34" w:name="_Toc7163_WPSOffice_Level1"/>
      <w:r>
        <w:rPr>
          <w:rFonts w:hint="eastAsia"/>
        </w:rPr>
        <w:t>加工制作</w:t>
      </w:r>
      <w:bookmarkEnd w:id="34"/>
    </w:p>
    <w:p>
      <w:pPr>
        <w:pStyle w:val="51"/>
        <w:spacing w:before="156" w:after="156"/>
      </w:pPr>
      <w:r>
        <w:rPr>
          <w:rFonts w:hint="eastAsia"/>
        </w:rPr>
        <w:t>食品原材料采购、贮存</w:t>
      </w:r>
    </w:p>
    <w:p>
      <w:pPr>
        <w:pStyle w:val="72"/>
        <w:spacing w:before="0" w:after="0"/>
      </w:pPr>
      <w:r>
        <w:rPr>
          <w:rFonts w:hint="eastAsia"/>
        </w:rPr>
        <w:t>学校食堂采购食品及原料，应按照下列要求查验许可相关文件，并留存加盖公章或签字的复印件或其他凭证：</w:t>
      </w:r>
    </w:p>
    <w:p>
      <w:pPr>
        <w:pStyle w:val="57"/>
      </w:pPr>
      <w:r>
        <w:rPr>
          <w:rFonts w:hint="eastAsia"/>
        </w:rPr>
        <w:t>从食品生产者采购食品的，应当查验其食品生产许可证和产品合格证明文件等；</w:t>
      </w:r>
    </w:p>
    <w:p>
      <w:pPr>
        <w:pStyle w:val="57"/>
      </w:pPr>
      <w:r>
        <w:rPr>
          <w:rFonts w:hint="eastAsia"/>
        </w:rPr>
        <w:t>从食品经营者（商场、超市、便利店等）采购食品的，应当查验其食品经营许可证等；</w:t>
      </w:r>
    </w:p>
    <w:p>
      <w:pPr>
        <w:pStyle w:val="57"/>
      </w:pPr>
      <w:r>
        <w:rPr>
          <w:rFonts w:hint="eastAsia"/>
        </w:rPr>
        <w:t>从食用农产品生产者直接采购的，应当查验并留存其社会信用代码或身份证复印件；</w:t>
      </w:r>
    </w:p>
    <w:p>
      <w:pPr>
        <w:pStyle w:val="57"/>
      </w:pPr>
      <w:r>
        <w:rPr>
          <w:rFonts w:hint="eastAsia"/>
        </w:rPr>
        <w:t>从集中交易市场采购食用农产品的，应当索取并留存由市场开办者或者经营者加盖公章或负责人签字的购货凭证；</w:t>
      </w:r>
    </w:p>
    <w:p>
      <w:pPr>
        <w:pStyle w:val="57"/>
      </w:pPr>
      <w:r>
        <w:rPr>
          <w:rFonts w:hint="eastAsia"/>
        </w:rPr>
        <w:t>采购肉类的应当查验肉类产品的检疫合格证明；采购肉类制品的应当查验肉类制品的检验合格证明；</w:t>
      </w:r>
    </w:p>
    <w:p>
      <w:pPr>
        <w:pStyle w:val="57"/>
      </w:pPr>
      <w:r>
        <w:rPr>
          <w:rFonts w:hint="eastAsia"/>
        </w:rPr>
        <w:t>批量采购进口食品、食品添加剂的，应当索取口岸进口食品法定检验机构出具的与所购食品、食品添加剂相同批次的食品检验合格证明的复印件。</w:t>
      </w:r>
    </w:p>
    <w:p>
      <w:pPr>
        <w:pStyle w:val="72"/>
        <w:spacing w:before="0" w:after="0"/>
        <w:rPr>
          <w:color w:val="000000" w:themeColor="text1"/>
        </w:rPr>
      </w:pPr>
      <w:r>
        <w:rPr>
          <w:rFonts w:hint="eastAsia"/>
          <w:color w:val="000000" w:themeColor="text1"/>
        </w:rPr>
        <w:t>每次进货比对进货票据查验货物的生产者、生产日期、保质期、许可证号等内容，货票不符或者货物本身标识不合法的拒收。清真食品原料应有专用标识。对每批货物开箱抽查，发现问题的拒收，抽查</w:t>
      </w:r>
      <w:r>
        <w:rPr>
          <w:color w:val="000000" w:themeColor="text1"/>
        </w:rPr>
        <w:t>应包含但不限于下列内容</w:t>
      </w:r>
      <w:r>
        <w:rPr>
          <w:rFonts w:hint="eastAsia"/>
          <w:color w:val="000000" w:themeColor="text1"/>
        </w:rPr>
        <w:t>：</w:t>
      </w:r>
    </w:p>
    <w:p>
      <w:pPr>
        <w:pStyle w:val="57"/>
        <w:bidi w:val="0"/>
      </w:pPr>
      <w:r>
        <w:rPr>
          <w:rFonts w:hint="eastAsia"/>
        </w:rPr>
        <w:t>预包装食品的包装完整、清洁、无破损，标识与内容物一致；</w:t>
      </w:r>
    </w:p>
    <w:p>
      <w:pPr>
        <w:pStyle w:val="57"/>
        <w:bidi w:val="0"/>
      </w:pPr>
      <w:r>
        <w:rPr>
          <w:rFonts w:hint="eastAsia"/>
        </w:rPr>
        <w:t>冷冻食品无解冻后再次冷冻情形；</w:t>
      </w:r>
    </w:p>
    <w:p>
      <w:pPr>
        <w:pStyle w:val="57"/>
        <w:bidi w:val="0"/>
        <w:rPr>
          <w:color w:val="auto"/>
        </w:rPr>
      </w:pPr>
      <w:r>
        <w:rPr>
          <w:rFonts w:hint="eastAsia"/>
          <w:color w:val="000000" w:themeColor="text1"/>
        </w:rPr>
        <w:t>具有正常的感官性状、</w:t>
      </w:r>
      <w:r>
        <w:rPr>
          <w:rFonts w:hint="eastAsia"/>
          <w:color w:val="auto"/>
        </w:rPr>
        <w:t>无腐败、变质、污染等现象；</w:t>
      </w:r>
    </w:p>
    <w:p>
      <w:pPr>
        <w:pStyle w:val="57"/>
        <w:bidi w:val="0"/>
        <w:rPr>
          <w:color w:val="auto"/>
        </w:rPr>
      </w:pPr>
      <w:r>
        <w:rPr>
          <w:rFonts w:hint="eastAsia"/>
          <w:color w:val="auto"/>
        </w:rPr>
        <w:t>标签标识完整、清晰，载明的事项应符合食品安全标准和要求；</w:t>
      </w:r>
    </w:p>
    <w:p>
      <w:pPr>
        <w:pStyle w:val="57"/>
        <w:bidi w:val="0"/>
        <w:rPr>
          <w:color w:val="auto"/>
        </w:rPr>
      </w:pPr>
      <w:r>
        <w:rPr>
          <w:rFonts w:hint="eastAsia"/>
          <w:color w:val="auto"/>
        </w:rPr>
        <w:t>食品在保质期内；</w:t>
      </w:r>
    </w:p>
    <w:p>
      <w:pPr>
        <w:pStyle w:val="57"/>
        <w:bidi w:val="0"/>
        <w:rPr>
          <w:color w:val="auto"/>
        </w:rPr>
      </w:pPr>
      <w:r>
        <w:rPr>
          <w:rFonts w:hint="eastAsia"/>
          <w:color w:val="auto"/>
        </w:rPr>
        <w:t>食品温度符合食品安全要求，尽可能缩短冷冻（藏）食品验收时间，减少温度变化。</w:t>
      </w:r>
    </w:p>
    <w:p>
      <w:pPr>
        <w:pStyle w:val="72"/>
        <w:spacing w:before="120" w:after="120"/>
        <w:rPr>
          <w:rFonts w:hint="eastAsia"/>
          <w:color w:val="auto"/>
        </w:rPr>
      </w:pPr>
      <w:r>
        <w:rPr>
          <w:rFonts w:hint="eastAsia"/>
          <w:color w:val="auto"/>
        </w:rPr>
        <w:t>贮存过程应符合保证食品安全所需的温度、湿度等特殊要求，使用按照先进、先出、先用原则，变质、超过保质期或者回收的食品应显著标示或单独存在在有明确标志的场所，及时采取无害化处理、销毁等措施，并按规定记录。</w:t>
      </w:r>
    </w:p>
    <w:p>
      <w:pPr>
        <w:pStyle w:val="72"/>
        <w:spacing w:before="120" w:after="120"/>
        <w:rPr>
          <w:rFonts w:hint="eastAsia"/>
          <w:color w:val="auto"/>
        </w:rPr>
      </w:pPr>
      <w:r>
        <w:rPr>
          <w:rFonts w:hint="eastAsia"/>
          <w:color w:val="auto"/>
        </w:rPr>
        <w:t>同一库房内贮存原料、半成品、成品、包装材料的，应分设存放区域并显著标示，分离或分隔存放，防治交叉污染。应与墙壁、地面保持适当距离，以利于空气流通，避免有害生物藏匿。</w:t>
      </w:r>
    </w:p>
    <w:p>
      <w:pPr>
        <w:pStyle w:val="72"/>
        <w:spacing w:before="120" w:after="120"/>
        <w:rPr>
          <w:rFonts w:hint="eastAsia"/>
          <w:color w:val="auto"/>
        </w:rPr>
      </w:pPr>
      <w:r>
        <w:rPr>
          <w:rFonts w:hint="eastAsia"/>
          <w:color w:val="auto"/>
        </w:rPr>
        <w:t>冷冻、冷藏柜（库）应设有正确显示内部温度的测温装置。</w:t>
      </w:r>
    </w:p>
    <w:p>
      <w:pPr>
        <w:pStyle w:val="72"/>
        <w:spacing w:before="120" w:after="120"/>
        <w:rPr>
          <w:rFonts w:hint="eastAsia"/>
          <w:color w:val="auto"/>
        </w:rPr>
      </w:pPr>
      <w:r>
        <w:rPr>
          <w:rFonts w:hint="eastAsia"/>
          <w:color w:val="auto"/>
        </w:rPr>
        <w:t>应设通风、防潮设施，保持干燥。</w:t>
      </w:r>
    </w:p>
    <w:p>
      <w:pPr>
        <w:pStyle w:val="72"/>
        <w:spacing w:before="120" w:after="120"/>
        <w:rPr>
          <w:color w:val="auto"/>
        </w:rPr>
      </w:pPr>
      <w:r>
        <w:rPr>
          <w:rFonts w:hint="eastAsia"/>
          <w:color w:val="auto"/>
        </w:rPr>
        <w:t>清洁剂、消毒剂、杀虫剂、醇基燃料等物质应有醒目标识，与食品、食品添加剂、包装材料分开存放或分隔放置。</w:t>
      </w:r>
    </w:p>
    <w:p>
      <w:pPr>
        <w:pStyle w:val="51"/>
        <w:spacing w:before="156" w:after="156"/>
        <w:rPr>
          <w:color w:val="auto"/>
        </w:rPr>
      </w:pPr>
      <w:r>
        <w:rPr>
          <w:rFonts w:hint="eastAsia"/>
          <w:color w:val="auto"/>
        </w:rPr>
        <w:t>食堂供水</w:t>
      </w:r>
    </w:p>
    <w:p>
      <w:pPr>
        <w:pStyle w:val="23"/>
        <w:rPr>
          <w:color w:val="auto"/>
        </w:rPr>
      </w:pPr>
      <w:r>
        <w:rPr>
          <w:rFonts w:hint="eastAsia"/>
          <w:color w:val="auto"/>
        </w:rPr>
        <w:t>自来水、二次供水、自备水均应符合 GB 5749 中的规定。自备水水源 30 m 以内应无旱厕、垃圾堆放点、污水池。采用二次供水的应取得有效的二次供水卫生许可证。自备井、二次供水的储水池(罐)应配备清洗消毒设施、采取安全防护措施并做好记录。专人管理饮用水，管理人员应持有效健康证。学生饮用水水质应每年检测2次，有合格有效的检测报告。</w:t>
      </w:r>
    </w:p>
    <w:p>
      <w:pPr>
        <w:pStyle w:val="51"/>
        <w:spacing w:before="156" w:after="156"/>
        <w:rPr>
          <w:color w:val="auto"/>
        </w:rPr>
      </w:pPr>
      <w:r>
        <w:rPr>
          <w:rFonts w:hint="eastAsia"/>
          <w:color w:val="auto"/>
        </w:rPr>
        <w:t>粗加工与切配</w:t>
      </w:r>
    </w:p>
    <w:p>
      <w:pPr>
        <w:pStyle w:val="72"/>
        <w:spacing w:before="0" w:after="0"/>
        <w:rPr>
          <w:color w:val="auto"/>
        </w:rPr>
      </w:pPr>
      <w:r>
        <w:rPr>
          <w:rFonts w:hint="eastAsia"/>
          <w:color w:val="auto"/>
        </w:rPr>
        <w:t>冷冻(藏)食品出库后应及时加工制作。冷冻食品原料不宜反复解冻、冷冻。</w:t>
      </w:r>
    </w:p>
    <w:p>
      <w:pPr>
        <w:pStyle w:val="72"/>
        <w:spacing w:before="0" w:after="0"/>
        <w:rPr>
          <w:color w:val="auto"/>
        </w:rPr>
      </w:pPr>
      <w:r>
        <w:rPr>
          <w:rFonts w:hint="eastAsia"/>
          <w:color w:val="auto"/>
        </w:rPr>
        <w:t>宜使用冷藏解冻或冷水解冻方法进行解冻，解冻时合理防护，避免受到污染。使用微波解冻方法的，解冻后的食品原料应被立即加工制作。</w:t>
      </w:r>
    </w:p>
    <w:p>
      <w:pPr>
        <w:pStyle w:val="72"/>
        <w:spacing w:before="0" w:after="0"/>
        <w:rPr>
          <w:color w:val="auto"/>
        </w:rPr>
      </w:pPr>
      <w:r>
        <w:rPr>
          <w:rFonts w:hint="eastAsia"/>
          <w:color w:val="auto"/>
        </w:rPr>
        <w:t>应缩短解冻后的高危易腐食品原料在常温下的存放时间，食品原料的表面温度不宜超过8℃。</w:t>
      </w:r>
    </w:p>
    <w:p>
      <w:pPr>
        <w:pStyle w:val="72"/>
        <w:spacing w:before="0" w:after="0"/>
        <w:rPr>
          <w:color w:val="auto"/>
        </w:rPr>
      </w:pPr>
      <w:r>
        <w:rPr>
          <w:rFonts w:hint="eastAsia"/>
          <w:color w:val="auto"/>
        </w:rPr>
        <w:t>食品原料应洗净后使用。盛放或加工制作不同类型食品原料的工具和容器应分开使用。盛放或加工制作畜肉类原料、禽肉类原料及蛋类原料的工具和容器宜分开使用。</w:t>
      </w:r>
    </w:p>
    <w:p>
      <w:pPr>
        <w:pStyle w:val="72"/>
        <w:spacing w:before="0" w:after="0"/>
        <w:rPr>
          <w:color w:val="auto"/>
        </w:rPr>
      </w:pPr>
      <w:r>
        <w:rPr>
          <w:rFonts w:hint="eastAsia"/>
          <w:color w:val="auto"/>
        </w:rPr>
        <w:t>未经事先清洁的禽蛋使用前应清洗外壳，必要时消毒。</w:t>
      </w:r>
    </w:p>
    <w:p>
      <w:pPr>
        <w:pStyle w:val="72"/>
        <w:spacing w:before="0" w:after="0"/>
        <w:rPr>
          <w:color w:val="auto"/>
        </w:rPr>
      </w:pPr>
      <w:r>
        <w:rPr>
          <w:rFonts w:hint="eastAsia"/>
          <w:color w:val="auto"/>
        </w:rPr>
        <w:t>应及时使用或冷冻（藏）贮存切配好的半成品。</w:t>
      </w:r>
    </w:p>
    <w:p>
      <w:pPr>
        <w:pStyle w:val="51"/>
        <w:spacing w:before="156" w:after="156"/>
        <w:rPr>
          <w:color w:val="auto"/>
        </w:rPr>
      </w:pPr>
      <w:r>
        <w:rPr>
          <w:rFonts w:hint="eastAsia"/>
          <w:color w:val="auto"/>
        </w:rPr>
        <w:t>烹饪</w:t>
      </w:r>
    </w:p>
    <w:p>
      <w:pPr>
        <w:pStyle w:val="72"/>
        <w:spacing w:before="0" w:after="0"/>
        <w:rPr>
          <w:color w:val="auto"/>
        </w:rPr>
      </w:pPr>
      <w:r>
        <w:rPr>
          <w:rFonts w:hint="eastAsia"/>
          <w:color w:val="auto"/>
        </w:rPr>
        <w:t>食品应炸(炒)熟煮透，加工中心温度应不低于70℃。</w:t>
      </w:r>
    </w:p>
    <w:p>
      <w:pPr>
        <w:pStyle w:val="72"/>
        <w:spacing w:before="0" w:after="0"/>
        <w:rPr>
          <w:color w:val="auto"/>
        </w:rPr>
      </w:pPr>
      <w:r>
        <w:rPr>
          <w:rFonts w:hint="eastAsia"/>
          <w:color w:val="auto"/>
        </w:rPr>
        <w:t>不得超范围、超剂量使用食品添加剂，不得使用亚硝酸盐和非食用物质加工制作食品。</w:t>
      </w:r>
    </w:p>
    <w:p>
      <w:pPr>
        <w:pStyle w:val="72"/>
        <w:spacing w:before="0" w:after="0"/>
        <w:rPr>
          <w:color w:val="auto"/>
        </w:rPr>
      </w:pPr>
      <w:r>
        <w:rPr>
          <w:rFonts w:hint="eastAsia"/>
          <w:color w:val="auto"/>
        </w:rPr>
        <w:t>烹调好的食品应在备餐间存放。</w:t>
      </w:r>
    </w:p>
    <w:p>
      <w:pPr>
        <w:pStyle w:val="72"/>
        <w:spacing w:before="0" w:after="0"/>
        <w:rPr>
          <w:color w:val="auto"/>
        </w:rPr>
      </w:pPr>
      <w:r>
        <w:rPr>
          <w:rFonts w:hint="eastAsia"/>
          <w:color w:val="auto"/>
        </w:rPr>
        <w:t>8℃～60℃温度条件下存放的食品烧熟至食用时间应不超过2 h。</w:t>
      </w:r>
    </w:p>
    <w:p>
      <w:pPr>
        <w:pStyle w:val="72"/>
        <w:spacing w:before="0" w:after="0"/>
        <w:rPr>
          <w:color w:val="auto"/>
        </w:rPr>
      </w:pPr>
      <w:r>
        <w:rPr>
          <w:rFonts w:hint="eastAsia"/>
          <w:color w:val="auto"/>
        </w:rPr>
        <w:t>烧熟后2 h的食品中心温度保持在60℃以上(热藏)的，其保质期为烧熟后4 h。</w:t>
      </w:r>
    </w:p>
    <w:p>
      <w:pPr>
        <w:pStyle w:val="72"/>
        <w:spacing w:before="0" w:after="0"/>
        <w:rPr>
          <w:color w:val="auto"/>
        </w:rPr>
      </w:pPr>
      <w:r>
        <w:rPr>
          <w:rFonts w:hint="eastAsia"/>
          <w:color w:val="auto"/>
        </w:rPr>
        <w:t>烧熟后2 h的食品中心温度保持在8℃以下(冷藏)的，保质期为烧熟后24 h，再次使用应加热煮透。</w:t>
      </w:r>
    </w:p>
    <w:p>
      <w:pPr>
        <w:pStyle w:val="51"/>
        <w:spacing w:before="156" w:after="156"/>
        <w:rPr>
          <w:color w:val="auto"/>
        </w:rPr>
      </w:pPr>
      <w:r>
        <w:rPr>
          <w:rFonts w:hint="eastAsia"/>
          <w:color w:val="auto"/>
        </w:rPr>
        <w:t>备餐与供餐</w:t>
      </w:r>
    </w:p>
    <w:p>
      <w:pPr>
        <w:pStyle w:val="23"/>
      </w:pPr>
      <w:r>
        <w:rPr>
          <w:rFonts w:hint="eastAsia"/>
        </w:rPr>
        <w:t>备餐人员进入备餐间，应更换备菜间专用工作衣帽并佩戴口罩，售饭前半小时开紫外线消毒灯消毒，操作前手应清洗消毒，分派菜肴的用具使用前应进行消毒。供应食品前应检查待供应食品，发现有腐败变质或者其他感官性状异常的，不得供应。</w:t>
      </w:r>
    </w:p>
    <w:p>
      <w:pPr>
        <w:pStyle w:val="51"/>
        <w:spacing w:before="156" w:after="156"/>
      </w:pPr>
      <w:r>
        <w:rPr>
          <w:rFonts w:hint="eastAsia"/>
        </w:rPr>
        <w:t>风险食品</w:t>
      </w:r>
    </w:p>
    <w:p>
      <w:pPr>
        <w:pStyle w:val="23"/>
      </w:pPr>
      <w:r>
        <w:rPr>
          <w:rFonts w:hint="eastAsia"/>
        </w:rPr>
        <w:t>不得制作、供应冷荤凉菜，不得使用加工腐败变质、感官异常的食品原材料；不得使用发芽土豆、野生菌、鲜黄花、霉变红薯、非本食堂加工的散装馅料、肉串及散装熟肉制品以及法律法规规定禁止生产经营的其他食品；不得供应未加热食品；不得出售落地、不洁食品；四季豆、豆浆应烧熟、煮透。</w:t>
      </w:r>
    </w:p>
    <w:p>
      <w:pPr>
        <w:pStyle w:val="51"/>
        <w:spacing w:before="156" w:after="156"/>
      </w:pPr>
      <w:r>
        <w:rPr>
          <w:rFonts w:hint="eastAsia"/>
        </w:rPr>
        <w:t>留样</w:t>
      </w:r>
    </w:p>
    <w:p>
      <w:pPr>
        <w:pStyle w:val="23"/>
        <w:rPr>
          <w:color w:val="auto"/>
        </w:rPr>
      </w:pPr>
      <w:r>
        <w:rPr>
          <w:rFonts w:hint="eastAsia"/>
          <w:color w:val="auto"/>
        </w:rPr>
        <w:t>专人负责留样管理，设有专用的留样冰箱，冰箱能上锁。对每餐次或者批次的易腐食品成品进行留样，每个品种留样量不少于125克。留样食品应使用清洁的专用容器和专用冷藏设施进行存储，留样时间不少于48h.记录留样食品名称、留样量、留样时间、留样人、审核人员等。</w:t>
      </w:r>
    </w:p>
    <w:p>
      <w:pPr>
        <w:pStyle w:val="51"/>
        <w:spacing w:before="156" w:after="156"/>
        <w:rPr>
          <w:color w:val="auto"/>
        </w:rPr>
      </w:pPr>
      <w:r>
        <w:rPr>
          <w:rFonts w:hint="eastAsia"/>
          <w:color w:val="auto"/>
        </w:rPr>
        <w:t>食品添加剂</w:t>
      </w:r>
    </w:p>
    <w:p>
      <w:pPr>
        <w:pStyle w:val="72"/>
        <w:bidi w:val="0"/>
      </w:pPr>
      <w:r>
        <w:rPr>
          <w:rFonts w:hint="eastAsia"/>
          <w:color w:val="auto"/>
        </w:rPr>
        <w:t>食品添加剂</w:t>
      </w:r>
      <w:r>
        <w:rPr>
          <w:rFonts w:hint="eastAsia"/>
        </w:rPr>
        <w:t>的使用应符合 GB 2760 的要求，专人采购、专人保管、专人领用、专人登记、专柜保存、专用称量，专柜上标示“食品添加剂”字样。使用容器盛放拆包后的食品添加剂的，应在盛放容器上标明食品添加剂名称，保留原包装并做使用记录。</w:t>
      </w:r>
    </w:p>
    <w:p>
      <w:pPr>
        <w:pStyle w:val="72"/>
        <w:bidi w:val="0"/>
      </w:pPr>
      <w:r>
        <w:rPr>
          <w:rFonts w:hint="eastAsia"/>
        </w:rPr>
        <w:t>不得采购、贮存和使用亚硝酸盐。</w:t>
      </w:r>
    </w:p>
    <w:p>
      <w:pPr>
        <w:pStyle w:val="51"/>
        <w:spacing w:before="156" w:after="156"/>
      </w:pPr>
      <w:r>
        <w:rPr>
          <w:rFonts w:hint="eastAsia"/>
        </w:rPr>
        <w:t>食品营养</w:t>
      </w:r>
    </w:p>
    <w:p>
      <w:pPr>
        <w:pStyle w:val="23"/>
      </w:pPr>
      <w:r>
        <w:rPr>
          <w:rFonts w:hint="eastAsia"/>
        </w:rPr>
        <w:t>学校应将营养与健康教育工作纳入教育计划，定期开展相关宣传教育活动。食堂应在营养师指导下综合考虑学生的营养需要制定食谱，并提前公布。</w:t>
      </w:r>
    </w:p>
    <w:p>
      <w:pPr>
        <w:pStyle w:val="54"/>
        <w:spacing w:before="312" w:after="312"/>
      </w:pPr>
      <w:bookmarkStart w:id="35" w:name="_Toc4866_WPSOffice_Level1"/>
      <w:r>
        <w:rPr>
          <w:rFonts w:hint="eastAsia"/>
        </w:rPr>
        <w:t>卫生管理</w:t>
      </w:r>
      <w:bookmarkEnd w:id="35"/>
    </w:p>
    <w:p>
      <w:pPr>
        <w:pStyle w:val="51"/>
        <w:spacing w:before="156" w:after="156"/>
      </w:pPr>
      <w:r>
        <w:rPr>
          <w:rFonts w:hint="eastAsia"/>
        </w:rPr>
        <w:t>场所清洁</w:t>
      </w:r>
    </w:p>
    <w:p>
      <w:pPr>
        <w:pStyle w:val="72"/>
        <w:spacing w:before="0" w:after="0"/>
        <w:rPr>
          <w:color w:val="000000" w:themeColor="text1"/>
        </w:rPr>
      </w:pPr>
      <w:r>
        <w:rPr>
          <w:rFonts w:hint="eastAsia"/>
          <w:color w:val="000000" w:themeColor="text1"/>
        </w:rPr>
        <w:t>场所及设施设备清洁，内外环境整洁，无卫生死角。</w:t>
      </w:r>
    </w:p>
    <w:p>
      <w:pPr>
        <w:pStyle w:val="72"/>
        <w:spacing w:before="0" w:after="0"/>
        <w:rPr>
          <w:color w:val="000000" w:themeColor="text1"/>
        </w:rPr>
      </w:pPr>
      <w:r>
        <w:rPr>
          <w:rFonts w:hint="eastAsia"/>
          <w:color w:val="000000" w:themeColor="text1"/>
        </w:rPr>
        <w:t>地面无垃圾、无积水、无油渍，保持干燥。</w:t>
      </w:r>
    </w:p>
    <w:p>
      <w:pPr>
        <w:pStyle w:val="72"/>
        <w:spacing w:before="0" w:after="0"/>
        <w:rPr>
          <w:color w:val="000000" w:themeColor="text1"/>
        </w:rPr>
      </w:pPr>
      <w:r>
        <w:rPr>
          <w:rFonts w:hint="eastAsia"/>
          <w:color w:val="000000" w:themeColor="text1"/>
        </w:rPr>
        <w:t>排水设明沟的应保持清洁，不得存在食物残渣、油污和污水，设暗沟的应保持流水通畅。</w:t>
      </w:r>
    </w:p>
    <w:p>
      <w:pPr>
        <w:pStyle w:val="72"/>
        <w:spacing w:before="0" w:after="0"/>
        <w:rPr>
          <w:color w:val="000000" w:themeColor="text1"/>
        </w:rPr>
      </w:pPr>
      <w:r>
        <w:rPr>
          <w:rFonts w:hint="eastAsia"/>
          <w:color w:val="000000" w:themeColor="text1"/>
        </w:rPr>
        <w:t>墙面和门窗应无污渍、无灰尘，天花板无菌斑、无灰尘。</w:t>
      </w:r>
    </w:p>
    <w:p>
      <w:pPr>
        <w:pStyle w:val="72"/>
        <w:spacing w:before="0" w:after="0"/>
        <w:rPr>
          <w:color w:val="000000" w:themeColor="text1"/>
        </w:rPr>
      </w:pPr>
      <w:r>
        <w:rPr>
          <w:rFonts w:hint="eastAsia"/>
          <w:color w:val="000000" w:themeColor="text1"/>
        </w:rPr>
        <w:t>灶台台面清洁，无油污残菜，炉台底等无卫生死角；排烟、排气设施清洁卫生，无油垢沉积、不滴油；油烟设施每年至少清洗2次。</w:t>
      </w:r>
    </w:p>
    <w:p>
      <w:pPr>
        <w:pStyle w:val="72"/>
        <w:spacing w:before="0" w:after="0"/>
        <w:rPr>
          <w:color w:val="000000" w:themeColor="text1"/>
        </w:rPr>
      </w:pPr>
      <w:r>
        <w:rPr>
          <w:rFonts w:hint="eastAsia"/>
          <w:color w:val="000000" w:themeColor="text1"/>
        </w:rPr>
        <w:t>工作台、调料台、水池、工具及加工设备每次使用后应清洗，保持整洁。</w:t>
      </w:r>
    </w:p>
    <w:p>
      <w:pPr>
        <w:pStyle w:val="72"/>
        <w:spacing w:before="0" w:after="0"/>
        <w:rPr>
          <w:color w:val="000000" w:themeColor="text1"/>
        </w:rPr>
      </w:pPr>
      <w:r>
        <w:rPr>
          <w:rFonts w:hint="eastAsia"/>
          <w:color w:val="000000" w:themeColor="text1"/>
        </w:rPr>
        <w:t>冷藏、冷冻设施内外清洁，定期除霜，生食品、半成品、成品分柜分类贮藏,无异味。</w:t>
      </w:r>
    </w:p>
    <w:p>
      <w:pPr>
        <w:pStyle w:val="72"/>
        <w:spacing w:before="0" w:after="0"/>
        <w:rPr>
          <w:color w:val="000000" w:themeColor="text1"/>
        </w:rPr>
      </w:pPr>
      <w:r>
        <w:rPr>
          <w:rFonts w:hint="eastAsia"/>
          <w:color w:val="000000" w:themeColor="text1"/>
        </w:rPr>
        <w:t>卫生间洗手池及台面无积水、无污物、无垃圾、便池内外无污物、无积垢。</w:t>
      </w:r>
    </w:p>
    <w:p>
      <w:pPr>
        <w:pStyle w:val="72"/>
        <w:spacing w:before="0" w:after="0"/>
        <w:rPr>
          <w:color w:val="000000" w:themeColor="text1"/>
        </w:rPr>
      </w:pPr>
      <w:r>
        <w:rPr>
          <w:rFonts w:hint="eastAsia"/>
          <w:color w:val="000000" w:themeColor="text1"/>
        </w:rPr>
        <w:t>使用期间，应开启就餐场所和卫生间的排风装置，保持就餐场所和卫生间无异味。</w:t>
      </w:r>
    </w:p>
    <w:p>
      <w:pPr>
        <w:pStyle w:val="51"/>
        <w:spacing w:before="156" w:after="156"/>
      </w:pPr>
      <w:r>
        <w:rPr>
          <w:rFonts w:hint="eastAsia"/>
        </w:rPr>
        <w:t>餐用具清洗消毒与保洁</w:t>
      </w:r>
    </w:p>
    <w:p>
      <w:pPr>
        <w:pStyle w:val="72"/>
        <w:bidi w:val="0"/>
        <w:rPr>
          <w:color w:val="auto"/>
        </w:rPr>
      </w:pPr>
      <w:r>
        <w:rPr>
          <w:rFonts w:hint="eastAsia"/>
          <w:color w:val="auto"/>
        </w:rPr>
        <w:t>餐用具使用后应及时洗净消毒。</w:t>
      </w:r>
    </w:p>
    <w:p>
      <w:pPr>
        <w:pStyle w:val="72"/>
        <w:bidi w:val="0"/>
        <w:rPr>
          <w:color w:val="auto"/>
        </w:rPr>
      </w:pPr>
      <w:r>
        <w:rPr>
          <w:rFonts w:hint="eastAsia"/>
          <w:color w:val="auto"/>
        </w:rPr>
        <w:t>餐用具洗消按一刮二洗三冲四消毒五保洁顺序进行。接触直接入口食品的餐用具消毒应采取高温消毒的方式，以蒸汽消毒为最佳。消毒后的餐饮具、盛放或接触直接入口食品的容器和工具卫生要求应符合GB 14934的规定。</w:t>
      </w:r>
    </w:p>
    <w:p>
      <w:pPr>
        <w:pStyle w:val="72"/>
        <w:bidi w:val="0"/>
      </w:pPr>
      <w:r>
        <w:rPr>
          <w:rFonts w:hint="eastAsia"/>
          <w:color w:val="auto"/>
        </w:rPr>
        <w:t>从业人员佩戴手套清洗消毒餐用具的，</w:t>
      </w:r>
      <w:r>
        <w:rPr>
          <w:rFonts w:hint="eastAsia"/>
        </w:rPr>
        <w:t>接触消毒后的餐用具前应更换手套。手套宜用颜色区分。</w:t>
      </w:r>
    </w:p>
    <w:p>
      <w:pPr>
        <w:pStyle w:val="72"/>
        <w:bidi w:val="0"/>
      </w:pPr>
      <w:r>
        <w:rPr>
          <w:rFonts w:hint="eastAsia"/>
        </w:rPr>
        <w:t>宜沥干、烘干清洗消毒后的餐用具。使用抹布擦干的，抹布应专用，并经清洗消毒后方可使用。</w:t>
      </w:r>
    </w:p>
    <w:p>
      <w:pPr>
        <w:pStyle w:val="72"/>
        <w:bidi w:val="0"/>
      </w:pPr>
      <w:r>
        <w:rPr>
          <w:rFonts w:hint="eastAsia"/>
        </w:rPr>
        <w:t>消毒后的餐用具、盛放或接触直接入口食品的容器和工具应定位存放在专用的、有明显区分标识的密闭保洁设施内，保持清洁。定期清洁保洁设施，防止清洗消毒后的餐用具受到污染。</w:t>
      </w:r>
    </w:p>
    <w:p>
      <w:pPr>
        <w:pStyle w:val="51"/>
        <w:spacing w:before="156" w:after="156"/>
      </w:pPr>
      <w:r>
        <w:rPr>
          <w:rFonts w:hint="eastAsia"/>
        </w:rPr>
        <w:t>废弃物管理</w:t>
      </w:r>
    </w:p>
    <w:p>
      <w:pPr>
        <w:pStyle w:val="72"/>
        <w:spacing w:before="0" w:after="0"/>
      </w:pPr>
      <w:r>
        <w:rPr>
          <w:rFonts w:hint="eastAsia"/>
        </w:rPr>
        <w:t>餐厨废弃物分类放置，存放在有盖的容器中，及时清理，做到日产日清。</w:t>
      </w:r>
    </w:p>
    <w:p>
      <w:pPr>
        <w:pStyle w:val="72"/>
        <w:spacing w:before="0" w:after="0"/>
      </w:pPr>
      <w:r>
        <w:rPr>
          <w:rFonts w:hint="eastAsia"/>
        </w:rPr>
        <w:t>餐厨废弃物应交给经相关部门许可或备案的餐厨废弃物加工单位，不得销售给其他单位和个人。</w:t>
      </w:r>
    </w:p>
    <w:p>
      <w:pPr>
        <w:pStyle w:val="72"/>
        <w:spacing w:before="0" w:after="0"/>
      </w:pPr>
      <w:r>
        <w:rPr>
          <w:rFonts w:hint="eastAsia"/>
        </w:rPr>
        <w:t>与餐厨废弃物收运者签订收运合同，明确各自的食品安全责任和义务，索取并留存其资质证明复印件，资质证明复印件加盖收运者公章或由收运者签字。</w:t>
      </w:r>
    </w:p>
    <w:p>
      <w:pPr>
        <w:pStyle w:val="72"/>
        <w:spacing w:before="0" w:after="0"/>
      </w:pPr>
      <w:r>
        <w:rPr>
          <w:rFonts w:hint="eastAsia"/>
        </w:rPr>
        <w:t>安排专人负责餐厨废弃物的处置、收运、台账管理工作。</w:t>
      </w:r>
    </w:p>
    <w:p>
      <w:pPr>
        <w:pStyle w:val="72"/>
        <w:spacing w:before="0" w:after="0"/>
      </w:pPr>
      <w:r>
        <w:rPr>
          <w:rFonts w:hint="eastAsia"/>
        </w:rPr>
        <w:t>应建立餐厨废弃物处置台账，详细记录餐厨废弃物的处置时间、种类、数量、收运者等信息，并长期保存备查。</w:t>
      </w:r>
    </w:p>
    <w:p>
      <w:pPr>
        <w:pStyle w:val="72"/>
        <w:spacing w:before="0" w:after="0"/>
      </w:pPr>
      <w:r>
        <w:rPr>
          <w:rFonts w:hint="eastAsia"/>
        </w:rPr>
        <w:t>废弃食用油脂存放在标有“废弃油脂专用”字样的专用密闭容器内，专人负责管理。</w:t>
      </w:r>
    </w:p>
    <w:p>
      <w:pPr>
        <w:pStyle w:val="72"/>
        <w:spacing w:before="0" w:after="0"/>
      </w:pPr>
      <w:r>
        <w:rPr>
          <w:rFonts w:hint="eastAsia"/>
        </w:rPr>
        <w:t>不得用未经无害化处理的废弃物喂养畜禽，不得随意倾倒、排放废弃物。</w:t>
      </w:r>
    </w:p>
    <w:p>
      <w:pPr>
        <w:pStyle w:val="72"/>
        <w:spacing w:before="0" w:after="0"/>
      </w:pPr>
      <w:r>
        <w:rPr>
          <w:rFonts w:hint="eastAsia"/>
        </w:rPr>
        <w:t>不得乱倒乱堆废弃物，不得将废弃物直接排入公共水域或倒入公共厕所和生活垃圾收集设施。</w:t>
      </w:r>
    </w:p>
    <w:p>
      <w:pPr>
        <w:pStyle w:val="51"/>
        <w:spacing w:before="156" w:after="156"/>
      </w:pPr>
      <w:r>
        <w:rPr>
          <w:rFonts w:hint="eastAsia"/>
        </w:rPr>
        <w:t>有害生物防制</w:t>
      </w:r>
    </w:p>
    <w:p>
      <w:pPr>
        <w:pStyle w:val="55"/>
        <w:spacing w:before="156" w:after="156"/>
      </w:pPr>
      <w:r>
        <w:rPr>
          <w:rFonts w:hint="eastAsia"/>
        </w:rPr>
        <w:t>基本原则</w:t>
      </w:r>
    </w:p>
    <w:p>
      <w:pPr>
        <w:pStyle w:val="23"/>
      </w:pPr>
      <w:r>
        <w:rPr>
          <w:rFonts w:hint="eastAsia"/>
        </w:rPr>
        <w:t>物理防制优先，化学防制有条件使用。</w:t>
      </w:r>
    </w:p>
    <w:p>
      <w:pPr>
        <w:pStyle w:val="55"/>
        <w:spacing w:before="156" w:after="156"/>
      </w:pPr>
      <w:r>
        <w:rPr>
          <w:rFonts w:hint="eastAsia"/>
        </w:rPr>
        <w:t>防制措施</w:t>
      </w:r>
    </w:p>
    <w:p>
      <w:pPr>
        <w:pStyle w:val="60"/>
        <w:spacing w:before="156" w:after="156"/>
        <w:rPr>
          <w:rFonts w:hint="eastAsia"/>
        </w:rPr>
      </w:pPr>
      <w:r>
        <w:rPr>
          <w:rFonts w:hint="eastAsia"/>
        </w:rPr>
        <w:t>综合措施</w:t>
      </w:r>
    </w:p>
    <w:p>
      <w:pPr>
        <w:pStyle w:val="60"/>
        <w:numPr>
          <w:ilvl w:val="0"/>
          <w:numId w:val="0"/>
        </w:numPr>
        <w:spacing w:before="156" w:after="156"/>
        <w:rPr>
          <w:rStyle w:val="50"/>
          <w:rFonts w:hint="eastAsia" w:asciiTheme="minorEastAsia" w:hAnsiTheme="minorEastAsia" w:eastAsiaTheme="minorEastAsia" w:cstheme="minorEastAsia"/>
        </w:rPr>
      </w:pPr>
      <w:r>
        <w:rPr>
          <w:rFonts w:hint="eastAsia"/>
        </w:rPr>
        <w:t xml:space="preserve">    </w:t>
      </w:r>
      <w:r>
        <w:rPr>
          <w:rStyle w:val="50"/>
          <w:rFonts w:hint="eastAsia" w:asciiTheme="minorEastAsia" w:hAnsiTheme="minorEastAsia" w:eastAsiaTheme="minorEastAsia" w:cstheme="minorEastAsia"/>
        </w:rPr>
        <w:t>墙壁、地板无缝隙，天花板修葺完整。供水、排水、供热、燃气、空调等所有管道与外界或天花板连接处封闭，所有管、线穿越而产生的孔洞用水泥、不锈钢隔板、钢丝封堵材料、防火泥等封堵，孔洞填充牢固，无缝隙。使用水封式地漏。所有线槽、配电箱(柜)封闭良好。人员、货物进出通道设置防鼠板，门的缝隙应小于 6 mm。</w:t>
      </w:r>
      <w:r>
        <w:rPr>
          <w:rStyle w:val="50"/>
          <w:rFonts w:hint="eastAsia" w:ascii="方正黑体_GBK" w:hAnsi="方正黑体_GBK" w:eastAsia="方正黑体_GBK" w:cs="方正黑体_GBK"/>
        </w:rPr>
        <w:t>排水管道出水口安装的篦子宜使用金属材料制成，篦子缝隙间距或网眼应小于1</w:t>
      </w:r>
      <w:r>
        <w:rPr>
          <w:rStyle w:val="50"/>
          <w:rFonts w:hint="eastAsia" w:ascii="方正黑体_GBK" w:hAnsi="方正黑体_GBK" w:eastAsia="方正黑体_GBK" w:cs="方正黑体_GBK"/>
          <w:lang w:val="en-US" w:eastAsia="zh-CN"/>
        </w:rPr>
        <w:t>0</w:t>
      </w:r>
      <w:r>
        <w:rPr>
          <w:rStyle w:val="50"/>
          <w:rFonts w:hint="eastAsia" w:ascii="方正黑体_GBK" w:hAnsi="方正黑体_GBK" w:eastAsia="方正黑体_GBK" w:cs="方正黑体_GBK"/>
        </w:rPr>
        <w:t xml:space="preserve"> mm。与外界直接相通的通风口、换气窗外应加装不小于16目的防虫筛网</w:t>
      </w:r>
      <w:r>
        <w:rPr>
          <w:rStyle w:val="50"/>
          <w:rFonts w:hint="eastAsia" w:asciiTheme="minorEastAsia" w:hAnsiTheme="minorEastAsia" w:eastAsiaTheme="minorEastAsia" w:cstheme="minorEastAsia"/>
        </w:rPr>
        <w:t>。</w:t>
      </w:r>
    </w:p>
    <w:p>
      <w:pPr>
        <w:pStyle w:val="60"/>
        <w:spacing w:before="156" w:after="156"/>
      </w:pPr>
      <w:r>
        <w:rPr>
          <w:rFonts w:hint="eastAsia"/>
        </w:rPr>
        <w:t>防蝇</w:t>
      </w:r>
    </w:p>
    <w:p>
      <w:pPr>
        <w:pStyle w:val="23"/>
      </w:pPr>
      <w:r>
        <w:rPr>
          <w:rFonts w:hint="eastAsia"/>
        </w:rPr>
        <w:t xml:space="preserve">安装灭蝇灯、风幕机等防蝇设施。根据餐饮服务场所的布局、面积及灭蝇灯使用技术要求确定灭蝇灯的安装位置和数量；食品处理区、就餐区宜安装粘捕式灭蝇灯；使用电击式灭蝇灯的，灭蝇灯不得悬挂在食品加工制作或贮存区域的上方；使用防蝇胶帘的，防蝇胶帘应覆盖整个门框，底部离地距离小于 2 cm，相邻胶帘条的重叠部分不少于 </w:t>
      </w:r>
      <w:r>
        <w:t>2cm</w:t>
      </w:r>
      <w:r>
        <w:rPr>
          <w:rFonts w:hint="eastAsia"/>
        </w:rPr>
        <w:t>；使用风幕机的，风幕应完整覆盖出入通道。</w:t>
      </w:r>
    </w:p>
    <w:p>
      <w:pPr>
        <w:pStyle w:val="60"/>
        <w:spacing w:before="156" w:after="156"/>
      </w:pPr>
      <w:r>
        <w:rPr>
          <w:rFonts w:hint="eastAsia"/>
        </w:rPr>
        <w:t>鼠类诱捕</w:t>
      </w:r>
    </w:p>
    <w:p>
      <w:pPr>
        <w:pStyle w:val="23"/>
        <w:bidi w:val="0"/>
      </w:pPr>
      <w:r>
        <w:rPr>
          <w:rFonts w:hint="eastAsia"/>
        </w:rPr>
        <w:t>食堂内应使用粘鼠板、捕鼠笼、机械式捕鼠器等装置，不得使用杀鼠剂；防鼠板高度不低于</w:t>
      </w:r>
      <w:r>
        <w:rPr>
          <w:rFonts w:hint="eastAsia"/>
          <w:lang w:val="en-US" w:eastAsia="zh-CN"/>
        </w:rPr>
        <w:t xml:space="preserve"> </w:t>
      </w:r>
      <w:r>
        <w:rPr>
          <w:rFonts w:hint="eastAsia"/>
        </w:rPr>
        <w:t>60</w:t>
      </w:r>
      <w:r>
        <w:rPr>
          <w:rFonts w:hint="eastAsia"/>
          <w:lang w:val="en-US" w:eastAsia="zh-CN"/>
        </w:rPr>
        <w:t xml:space="preserve"> </w:t>
      </w:r>
      <w:r>
        <w:rPr>
          <w:rFonts w:hint="eastAsia"/>
        </w:rPr>
        <w:t>cm。食堂外可使用抗干预型鼠饵站，鼠饵站和鼠饵必须固定安装。</w:t>
      </w:r>
    </w:p>
    <w:p>
      <w:pPr>
        <w:pStyle w:val="55"/>
        <w:spacing w:before="156" w:after="156"/>
      </w:pPr>
      <w:r>
        <w:rPr>
          <w:rFonts w:hint="eastAsia"/>
        </w:rPr>
        <w:t>防制要求</w:t>
      </w:r>
    </w:p>
    <w:p>
      <w:pPr>
        <w:pStyle w:val="60"/>
        <w:spacing w:before="156" w:after="156"/>
        <w:rPr>
          <w:rFonts w:hAnsiTheme="minorEastAsia"/>
        </w:rPr>
      </w:pPr>
      <w:r>
        <w:rPr>
          <w:rFonts w:hint="eastAsia" w:hAnsiTheme="minorEastAsia"/>
        </w:rPr>
        <w:t>日常检查</w:t>
      </w:r>
    </w:p>
    <w:p>
      <w:pPr>
        <w:pStyle w:val="23"/>
      </w:pPr>
      <w:r>
        <w:rPr>
          <w:rFonts w:hint="eastAsia" w:asciiTheme="minorEastAsia" w:hAnsiTheme="minorEastAsia" w:eastAsiaTheme="minorEastAsia"/>
        </w:rPr>
        <w:t>收取货物时，应检查运输工具和货物包装是否有有害生物活动迹象，如：鼠粪、鼠咬痕等鼠迹，蟑尸、蟑粪、卵鞘等蟑迹等。定期检查食品库房或食品贮存区域、固定设施设备背面及其他阴暗、潮湿区域是否存在有害生物活动迹象。发现有害生物应尽快杀灭，并能查找和消除其来源途径。</w:t>
      </w:r>
    </w:p>
    <w:p>
      <w:pPr>
        <w:pStyle w:val="60"/>
        <w:spacing w:before="156" w:after="156"/>
      </w:pPr>
      <w:r>
        <w:rPr>
          <w:rFonts w:hint="eastAsia"/>
        </w:rPr>
        <w:t>卫生杀虫剂、杀鼠剂管理</w:t>
      </w:r>
    </w:p>
    <w:p>
      <w:pPr>
        <w:pStyle w:val="127"/>
        <w:bidi w:val="0"/>
      </w:pPr>
      <w:r>
        <w:rPr>
          <w:rFonts w:hint="eastAsia"/>
        </w:rPr>
        <w:t>选择的卫生杀虫剂和杀鼠剂应标签信息齐全（农药登记证、农药生产许可证、农药标准）并在有效期内。不得将不同的卫生杀虫剂制剂混配。鼓励使用低毒或微毒的卫生杀虫剂和杀鼠剂。</w:t>
      </w:r>
    </w:p>
    <w:p>
      <w:pPr>
        <w:pStyle w:val="127"/>
        <w:bidi w:val="0"/>
      </w:pPr>
      <w:r>
        <w:rPr>
          <w:rFonts w:hint="eastAsia"/>
        </w:rPr>
        <w:t>使用卫生杀虫剂和杀鼠剂的人员应经过有害生物防制专业培训。应针对不同的作业环境，选择适宜的种类和剂型，并根据卫生杀虫剂和杀鼠剂的技术要求确定使用剂量和位置，设置警示标识。</w:t>
      </w:r>
    </w:p>
    <w:p>
      <w:pPr>
        <w:pStyle w:val="127"/>
        <w:bidi w:val="0"/>
      </w:pPr>
      <w:r>
        <w:rPr>
          <w:rFonts w:hint="eastAsia"/>
        </w:rPr>
        <w:t>不得在食品处理区和就餐场所存放卫生杀虫剂和杀鼠剂产品。应设置单独、固定的卫生杀虫剂和杀鼠剂产品存放场所，存放场所具备防火防盗通风条件，由专人负责。</w:t>
      </w:r>
    </w:p>
    <w:p>
      <w:pPr>
        <w:pStyle w:val="54"/>
        <w:spacing w:before="312" w:after="312"/>
      </w:pPr>
      <w:bookmarkStart w:id="36" w:name="_Toc19561_WPSOffice_Level1"/>
      <w:r>
        <w:rPr>
          <w:rFonts w:hint="eastAsia"/>
        </w:rPr>
        <w:t>食品安全自查</w:t>
      </w:r>
      <w:bookmarkEnd w:id="36"/>
    </w:p>
    <w:p>
      <w:pPr>
        <w:pStyle w:val="134"/>
        <w:bidi w:val="0"/>
      </w:pPr>
      <w:r>
        <w:rPr>
          <w:rFonts w:hint="eastAsia"/>
        </w:rPr>
        <w:t>学校食堂根据实际情况，确定食品安全自查项目和要求，建立自查清单，制定自查计划。</w:t>
      </w:r>
    </w:p>
    <w:p>
      <w:pPr>
        <w:pStyle w:val="134"/>
        <w:bidi w:val="0"/>
      </w:pPr>
      <w:r>
        <w:rPr>
          <w:rFonts w:hint="eastAsia"/>
        </w:rPr>
        <w:t>根据食品安全法律法规，自行或委托第三方专业机构开展食品安全自查，及时发现并消除食品安全隐患，防止发生食品安全事故。</w:t>
      </w:r>
    </w:p>
    <w:p>
      <w:pPr>
        <w:pStyle w:val="134"/>
        <w:bidi w:val="0"/>
      </w:pPr>
      <w:r>
        <w:rPr>
          <w:rFonts w:hint="eastAsia"/>
        </w:rPr>
        <w:t>食品安全自查包括制度自查、定期自查和专项自查：</w:t>
      </w:r>
    </w:p>
    <w:p>
      <w:pPr>
        <w:pStyle w:val="68"/>
        <w:numPr>
          <w:ilvl w:val="0"/>
          <w:numId w:val="10"/>
        </w:numPr>
      </w:pPr>
      <w:r>
        <w:rPr>
          <w:rFonts w:hint="eastAsia"/>
        </w:rPr>
        <w:t>制度自查</w:t>
      </w:r>
      <w:r>
        <w:rPr>
          <w:rFonts w:hint="eastAsia"/>
          <w:lang w:eastAsia="zh-CN"/>
        </w:rPr>
        <w:t>。</w:t>
      </w:r>
      <w:r>
        <w:rPr>
          <w:rFonts w:hint="eastAsia"/>
        </w:rPr>
        <w:t>每年至少开展1次，主要针对食品安全制度的适用性。在国家食品安全法律、法规、规章、规范性文件和食品安全国家标准发生变化时及时开展制度自查和修订；</w:t>
      </w:r>
    </w:p>
    <w:p>
      <w:pPr>
        <w:pStyle w:val="68"/>
        <w:numPr>
          <w:ilvl w:val="0"/>
          <w:numId w:val="10"/>
        </w:numPr>
      </w:pPr>
      <w:r>
        <w:rPr>
          <w:rFonts w:hint="eastAsia"/>
        </w:rPr>
        <w:t>定期自查</w:t>
      </w:r>
      <w:r>
        <w:rPr>
          <w:rFonts w:hint="eastAsia"/>
          <w:lang w:eastAsia="zh-CN"/>
        </w:rPr>
        <w:t>。</w:t>
      </w:r>
      <w:r>
        <w:rPr>
          <w:rFonts w:hint="eastAsia"/>
        </w:rPr>
        <w:t>每周应至少开展1次，根据食品安全法律、法规、规章和餐饮服务食品安全操作规范确定自查的内容；</w:t>
      </w:r>
    </w:p>
    <w:p>
      <w:pPr>
        <w:pStyle w:val="68"/>
        <w:numPr>
          <w:ilvl w:val="0"/>
          <w:numId w:val="10"/>
        </w:numPr>
      </w:pPr>
      <w:r>
        <w:rPr>
          <w:rFonts w:hint="eastAsia"/>
        </w:rPr>
        <w:t>专项自查</w:t>
      </w:r>
      <w:r>
        <w:rPr>
          <w:rFonts w:hint="eastAsia"/>
          <w:lang w:eastAsia="zh-CN"/>
        </w:rPr>
        <w:t>。</w:t>
      </w:r>
      <w:r>
        <w:rPr>
          <w:rFonts w:hint="eastAsia"/>
        </w:rPr>
        <w:t>获知食品安全风险信息后，应立即开展专项自查。专项自查的重点内容应根据食品安全风险信息确定。</w:t>
      </w:r>
    </w:p>
    <w:p>
      <w:pPr>
        <w:pStyle w:val="51"/>
        <w:spacing w:beforeLines="0" w:afterLines="0"/>
        <w:rPr>
          <w:rFonts w:ascii="宋体" w:hAnsi="宋体" w:eastAsia="宋体"/>
          <w:color w:val="auto"/>
        </w:rPr>
      </w:pPr>
      <w:r>
        <w:rPr>
          <w:rStyle w:val="155"/>
          <w:rFonts w:hint="eastAsia"/>
        </w:rPr>
        <w:t>对自查中发现的问题食品应立即停止使用，存放在加贴醒目、牢固标识的专门区域，避免被误用，并采取退货、销毁等处理措施。对自查中发现的其他食品安全风险，应根据具体情况采取有效措施，防止对消费者造成伤害。</w:t>
      </w:r>
      <w:r>
        <w:rPr>
          <w:rFonts w:hint="eastAsia" w:ascii="宋体" w:hAnsi="宋体" w:eastAsia="宋体"/>
          <w:color w:val="auto"/>
        </w:rPr>
        <w:t>并向所在地市场监督管理部门报告。</w:t>
      </w:r>
    </w:p>
    <w:p>
      <w:pPr>
        <w:pStyle w:val="134"/>
        <w:bidi w:val="0"/>
        <w:rPr>
          <w:color w:val="auto"/>
        </w:rPr>
      </w:pPr>
      <w:r>
        <w:rPr>
          <w:rFonts w:hint="eastAsia"/>
          <w:color w:val="auto"/>
        </w:rPr>
        <w:t>学校食堂根据自查结果形成食品安全自查报告，建立文件档案。</w:t>
      </w:r>
    </w:p>
    <w:p>
      <w:pPr>
        <w:pStyle w:val="54"/>
        <w:bidi w:val="0"/>
        <w:rPr>
          <w:color w:val="auto"/>
        </w:rPr>
      </w:pPr>
      <w:r>
        <w:rPr>
          <w:rFonts w:hint="eastAsia"/>
          <w:color w:val="auto"/>
          <w:lang w:eastAsia="zh-CN"/>
        </w:rPr>
        <w:t>节约管理</w:t>
      </w:r>
    </w:p>
    <w:p>
      <w:pPr>
        <w:pStyle w:val="23"/>
        <w:rPr>
          <w:rFonts w:hint="default"/>
          <w:lang w:val="en-US"/>
        </w:rPr>
      </w:pPr>
      <w:r>
        <w:rPr>
          <w:rFonts w:hint="eastAsia"/>
          <w:lang w:eastAsia="zh-CN"/>
        </w:rPr>
        <w:t>按照</w:t>
      </w:r>
      <w:r>
        <w:rPr>
          <w:rFonts w:hint="eastAsia"/>
          <w:lang w:val="en-US" w:eastAsia="zh-CN"/>
        </w:rPr>
        <w:t xml:space="preserve"> DB1308/T 330 中的规定。</w:t>
      </w:r>
    </w:p>
    <w:p>
      <w:pPr>
        <w:pStyle w:val="54"/>
        <w:spacing w:before="312" w:after="312"/>
      </w:pPr>
      <w:bookmarkStart w:id="37" w:name="_Toc17582_WPSOffice_Level1"/>
      <w:r>
        <w:rPr>
          <w:rFonts w:hint="eastAsia"/>
        </w:rPr>
        <w:t>应急处置</w:t>
      </w:r>
      <w:bookmarkEnd w:id="37"/>
    </w:p>
    <w:p>
      <w:pPr>
        <w:pStyle w:val="23"/>
      </w:pPr>
      <w:r>
        <w:rPr>
          <w:rFonts w:hint="eastAsia" w:hAnsi="宋体"/>
        </w:rPr>
        <w:t>建立食品安全事故应急处理机制，制定食品安全事故的处置方案。设置专职食品安全等突发公共卫生事件报告人，并报上级教育行政部门登记备案。对报告人定期进行培训。</w:t>
      </w:r>
    </w:p>
    <w:p>
      <w:pPr>
        <w:pStyle w:val="54"/>
        <w:spacing w:before="312" w:after="312"/>
      </w:pPr>
      <w:bookmarkStart w:id="38" w:name="_Toc31034_WPSOffice_Level1"/>
      <w:r>
        <w:rPr>
          <w:rFonts w:hint="eastAsia"/>
        </w:rPr>
        <w:t>投诉处理</w:t>
      </w:r>
      <w:bookmarkEnd w:id="38"/>
    </w:p>
    <w:p>
      <w:pPr>
        <w:pStyle w:val="23"/>
        <w:rPr>
          <w:rFonts w:hAnsi="宋体"/>
        </w:rPr>
      </w:pPr>
      <w:r>
        <w:rPr>
          <w:rFonts w:hint="eastAsia" w:hAnsi="宋体"/>
        </w:rPr>
        <w:t>学校应建立投诉受理制度，公布投诉受理监督电话。受理投诉后应立即核实，并准确记录投诉人姓名、投诉理由，确定处理方法，妥善处理。</w:t>
      </w:r>
    </w:p>
    <w:p>
      <w:pPr>
        <w:pStyle w:val="54"/>
        <w:spacing w:before="312" w:after="312"/>
      </w:pPr>
      <w:bookmarkStart w:id="39" w:name="_Toc12560_WPSOffice_Level1"/>
      <w:r>
        <w:rPr>
          <w:rFonts w:hint="eastAsia"/>
        </w:rPr>
        <w:t>文件记录</w:t>
      </w:r>
      <w:bookmarkEnd w:id="39"/>
    </w:p>
    <w:p>
      <w:pPr>
        <w:pStyle w:val="51"/>
        <w:spacing w:before="156" w:after="156"/>
      </w:pPr>
      <w:r>
        <w:rPr>
          <w:rFonts w:hint="eastAsia"/>
        </w:rPr>
        <w:t>组织管理</w:t>
      </w:r>
    </w:p>
    <w:p>
      <w:pPr>
        <w:pStyle w:val="23"/>
      </w:pPr>
      <w:r>
        <w:rPr>
          <w:rFonts w:hint="eastAsia"/>
        </w:rPr>
        <w:t>食品安全承诺书或责任书、成立</w:t>
      </w:r>
      <w:r>
        <w:rPr>
          <w:rFonts w:hint="eastAsia" w:hAnsi="宋体"/>
        </w:rPr>
        <w:t>食品安全委员会和学校食品安全领导小组相关文件、各岗位设置文件、从业人员健康档案、晨检记录、培训记录、</w:t>
      </w:r>
      <w:r>
        <w:rPr>
          <w:rFonts w:hint="eastAsia"/>
        </w:rPr>
        <w:t>各项管理制度文件等。</w:t>
      </w:r>
    </w:p>
    <w:p>
      <w:pPr>
        <w:pStyle w:val="51"/>
        <w:spacing w:before="156" w:after="156"/>
      </w:pPr>
      <w:r>
        <w:rPr>
          <w:rFonts w:hint="eastAsia"/>
        </w:rPr>
        <w:t>结构布局与功能分区</w:t>
      </w:r>
    </w:p>
    <w:p>
      <w:pPr>
        <w:pStyle w:val="23"/>
      </w:pPr>
      <w:r>
        <w:rPr>
          <w:rFonts w:hint="eastAsia"/>
        </w:rPr>
        <w:t>食堂结构布局图。</w:t>
      </w:r>
    </w:p>
    <w:p>
      <w:pPr>
        <w:pStyle w:val="51"/>
        <w:spacing w:before="156" w:after="156"/>
      </w:pPr>
      <w:r>
        <w:rPr>
          <w:rFonts w:hint="eastAsia"/>
        </w:rPr>
        <w:t>设备设施管理</w:t>
      </w:r>
    </w:p>
    <w:p>
      <w:pPr>
        <w:pStyle w:val="23"/>
      </w:pPr>
      <w:r>
        <w:rPr>
          <w:rFonts w:hint="eastAsia"/>
        </w:rPr>
        <w:t>设备设施采购记录、维修保养记录等。</w:t>
      </w:r>
    </w:p>
    <w:p>
      <w:pPr>
        <w:pStyle w:val="51"/>
        <w:spacing w:before="156" w:after="156"/>
      </w:pPr>
      <w:r>
        <w:rPr>
          <w:rFonts w:hint="eastAsia"/>
        </w:rPr>
        <w:t>加工过程管理</w:t>
      </w:r>
    </w:p>
    <w:p>
      <w:pPr>
        <w:pStyle w:val="23"/>
      </w:pPr>
      <w:r>
        <w:rPr>
          <w:rFonts w:hint="eastAsia"/>
        </w:rPr>
        <w:t>食品采购相关证明文件、食品贮存记录；二次供水卫生许可证、供水管理人员资质证明、自备井、二次供水的储水地(罐)清洗消毒安全防护记录、水质检验报告；食品加工记录；食品留样记录；食品添加剂使用记录；营养与健康教育工作计划、宣传资料、营养食谱等。</w:t>
      </w:r>
    </w:p>
    <w:p>
      <w:pPr>
        <w:pStyle w:val="51"/>
        <w:spacing w:before="156" w:after="156"/>
      </w:pPr>
      <w:r>
        <w:rPr>
          <w:rFonts w:hint="eastAsia"/>
        </w:rPr>
        <w:t>卫生管理</w:t>
      </w:r>
    </w:p>
    <w:p>
      <w:pPr>
        <w:pStyle w:val="23"/>
        <w:rPr>
          <w:rFonts w:asciiTheme="minorEastAsia" w:hAnsiTheme="minorEastAsia" w:eastAsiaTheme="minorEastAsia"/>
        </w:rPr>
      </w:pPr>
      <w:r>
        <w:rPr>
          <w:rFonts w:hint="eastAsia"/>
        </w:rPr>
        <w:t>设备设施洗消记录、餐厨废弃物收运单位资质证明、餐厨废弃物收运合同、餐厨废弃物处置记录、有害生物防制日常检查记录、</w:t>
      </w:r>
      <w:r>
        <w:rPr>
          <w:rFonts w:hint="eastAsia" w:asciiTheme="minorEastAsia" w:hAnsiTheme="minorEastAsia" w:eastAsiaTheme="minorEastAsia"/>
        </w:rPr>
        <w:t>卫生杀虫剂和杀鼠剂管理记录等。</w:t>
      </w:r>
    </w:p>
    <w:p>
      <w:pPr>
        <w:pStyle w:val="51"/>
        <w:spacing w:before="156" w:after="156"/>
      </w:pPr>
      <w:r>
        <w:rPr>
          <w:rFonts w:hint="eastAsia"/>
        </w:rPr>
        <w:t>食品安全自查</w:t>
      </w:r>
    </w:p>
    <w:p>
      <w:pPr>
        <w:pStyle w:val="23"/>
      </w:pPr>
      <w:r>
        <w:rPr>
          <w:rFonts w:hint="eastAsia"/>
        </w:rPr>
        <w:t>自查计划、自查报告等。</w:t>
      </w:r>
    </w:p>
    <w:p>
      <w:pPr>
        <w:pStyle w:val="51"/>
        <w:spacing w:before="156" w:after="156"/>
      </w:pPr>
      <w:r>
        <w:rPr>
          <w:rFonts w:hint="eastAsia"/>
        </w:rPr>
        <w:t>应急处置</w:t>
      </w:r>
    </w:p>
    <w:p>
      <w:pPr>
        <w:pStyle w:val="23"/>
      </w:pPr>
      <w:r>
        <w:rPr>
          <w:rFonts w:hint="eastAsia"/>
        </w:rPr>
        <w:t>应急处置记录、</w:t>
      </w:r>
      <w:r>
        <w:rPr>
          <w:rFonts w:hint="eastAsia" w:hAnsi="宋体"/>
        </w:rPr>
        <w:t>专职食品安全等突发公共卫生事件报告人培训记录等。</w:t>
      </w:r>
    </w:p>
    <w:p>
      <w:pPr>
        <w:pStyle w:val="51"/>
        <w:spacing w:before="156" w:after="156"/>
      </w:pPr>
      <w:r>
        <w:rPr>
          <w:rFonts w:hint="eastAsia"/>
        </w:rPr>
        <w:t>投诉处理</w:t>
      </w:r>
    </w:p>
    <w:p>
      <w:pPr>
        <w:pStyle w:val="23"/>
      </w:pPr>
      <w:r>
        <w:rPr>
          <w:rFonts w:hint="eastAsia"/>
        </w:rPr>
        <w:t>投诉记录、处理记录等。</w:t>
      </w:r>
    </w:p>
    <w:p>
      <w:pPr>
        <w:pStyle w:val="80"/>
      </w:pPr>
      <w:bookmarkStart w:id="40" w:name="BKCKWX"/>
      <w:bookmarkStart w:id="41" w:name="_Toc9553_WPSOffice_Level1"/>
      <w:r>
        <w:rPr>
          <w:rFonts w:hint="eastAsia"/>
        </w:rPr>
        <w:t>参</w:t>
      </w:r>
      <w:r>
        <w:rPr>
          <w:rFonts w:hint="eastAsia" w:ascii="MS Mincho" w:hAnsi="MS Mincho" w:eastAsia="MS Mincho" w:cs="MS Mincho"/>
        </w:rPr>
        <w:t> </w:t>
      </w:r>
      <w:r>
        <w:rPr>
          <w:rFonts w:hint="eastAsia"/>
        </w:rPr>
        <w:t>考</w:t>
      </w:r>
      <w:r>
        <w:rPr>
          <w:rFonts w:hint="eastAsia" w:ascii="MS Mincho" w:hAnsi="MS Mincho" w:eastAsia="MS Mincho" w:cs="MS Mincho"/>
        </w:rPr>
        <w:t> </w:t>
      </w:r>
      <w:r>
        <w:rPr>
          <w:rFonts w:hint="eastAsia"/>
        </w:rPr>
        <w:t>文</w:t>
      </w:r>
      <w:r>
        <w:rPr>
          <w:rFonts w:hint="eastAsia" w:ascii="MS Mincho" w:hAnsi="MS Mincho" w:eastAsia="MS Mincho" w:cs="MS Mincho"/>
        </w:rPr>
        <w:t> </w:t>
      </w:r>
      <w:r>
        <w:rPr>
          <w:rFonts w:hint="eastAsia"/>
        </w:rPr>
        <w:t>献</w:t>
      </w:r>
      <w:bookmarkEnd w:id="40"/>
      <w:bookmarkEnd w:id="41"/>
    </w:p>
    <w:p>
      <w:pPr>
        <w:pStyle w:val="23"/>
        <w:rPr>
          <w:rFonts w:hint="eastAsia" w:eastAsia="宋体"/>
          <w:color w:val="auto"/>
          <w:lang w:val="en-US" w:eastAsia="zh-CN"/>
        </w:rPr>
      </w:pPr>
      <w:r>
        <w:rPr>
          <w:rFonts w:hint="eastAsia"/>
        </w:rPr>
        <w:t xml:space="preserve">[1] </w:t>
      </w:r>
      <w:r>
        <w:rPr>
          <w:rFonts w:hint="eastAsia"/>
          <w:lang w:val="en-US" w:eastAsia="zh-CN"/>
        </w:rPr>
        <w:t xml:space="preserve"> </w:t>
      </w:r>
      <w:r>
        <w:rPr>
          <w:rFonts w:hint="eastAsia"/>
          <w:color w:val="auto"/>
        </w:rPr>
        <w:t>GB 31654-2021</w:t>
      </w:r>
      <w:r>
        <w:rPr>
          <w:rFonts w:hint="eastAsia"/>
          <w:color w:val="auto"/>
          <w:lang w:val="en-US" w:eastAsia="zh-CN"/>
        </w:rPr>
        <w:t xml:space="preserve">  </w:t>
      </w:r>
      <w:r>
        <w:rPr>
          <w:rFonts w:hint="eastAsia"/>
          <w:color w:val="auto"/>
        </w:rPr>
        <w:t>食品安全国家标准 餐饮服务通用卫生规范</w:t>
      </w:r>
    </w:p>
    <w:p>
      <w:pPr>
        <w:pStyle w:val="23"/>
        <w:rPr>
          <w:color w:val="auto"/>
        </w:rPr>
      </w:pPr>
      <w:r>
        <w:rPr>
          <w:rFonts w:hint="eastAsia"/>
          <w:color w:val="auto"/>
        </w:rPr>
        <w:t>[</w:t>
      </w:r>
      <w:r>
        <w:rPr>
          <w:rFonts w:hint="eastAsia"/>
          <w:color w:val="auto"/>
          <w:lang w:val="en-US" w:eastAsia="zh-CN"/>
        </w:rPr>
        <w:t>2</w:t>
      </w:r>
      <w:r>
        <w:rPr>
          <w:rFonts w:hint="eastAsia"/>
          <w:color w:val="auto"/>
        </w:rPr>
        <w:t>] 《中华人民共和国食品安全法》</w:t>
      </w:r>
    </w:p>
    <w:p>
      <w:pPr>
        <w:pStyle w:val="23"/>
        <w:rPr>
          <w:color w:val="auto"/>
        </w:rPr>
      </w:pPr>
      <w:r>
        <w:rPr>
          <w:rFonts w:hint="eastAsia"/>
          <w:color w:val="auto"/>
        </w:rPr>
        <w:t>[</w:t>
      </w:r>
      <w:r>
        <w:rPr>
          <w:rFonts w:hint="eastAsia"/>
          <w:color w:val="auto"/>
          <w:lang w:val="en-US" w:eastAsia="zh-CN"/>
        </w:rPr>
        <w:t>3</w:t>
      </w:r>
      <w:r>
        <w:rPr>
          <w:rFonts w:hint="eastAsia"/>
          <w:color w:val="auto"/>
        </w:rPr>
        <w:t>] 《中华人民共和国消防法》</w:t>
      </w:r>
    </w:p>
    <w:p>
      <w:pPr>
        <w:pStyle w:val="23"/>
        <w:rPr>
          <w:color w:val="auto"/>
        </w:rPr>
      </w:pPr>
      <w:r>
        <w:rPr>
          <w:rFonts w:hint="eastAsia"/>
          <w:color w:val="auto"/>
        </w:rPr>
        <w:t>[</w:t>
      </w:r>
      <w:r>
        <w:rPr>
          <w:rFonts w:hint="eastAsia"/>
          <w:color w:val="auto"/>
          <w:lang w:val="en-US" w:eastAsia="zh-CN"/>
        </w:rPr>
        <w:t>4</w:t>
      </w:r>
      <w:r>
        <w:rPr>
          <w:rFonts w:hint="eastAsia"/>
          <w:color w:val="auto"/>
        </w:rPr>
        <w:t>] 国务院 《突发公共卫生事件应急条例》（第 376 号令）</w:t>
      </w:r>
    </w:p>
    <w:p>
      <w:pPr>
        <w:pStyle w:val="23"/>
        <w:rPr>
          <w:color w:val="auto"/>
        </w:rPr>
      </w:pPr>
      <w:r>
        <w:rPr>
          <w:rFonts w:hint="eastAsia"/>
          <w:color w:val="auto"/>
        </w:rPr>
        <w:t>[</w:t>
      </w:r>
      <w:r>
        <w:rPr>
          <w:rFonts w:hint="eastAsia"/>
          <w:color w:val="auto"/>
          <w:lang w:val="en-US" w:eastAsia="zh-CN"/>
        </w:rPr>
        <w:t>5</w:t>
      </w:r>
      <w:r>
        <w:rPr>
          <w:rFonts w:hint="eastAsia"/>
          <w:color w:val="auto"/>
        </w:rPr>
        <w:t>] 国务院 《城镇燃气管理条例》（第 583 号令）</w:t>
      </w:r>
    </w:p>
    <w:p>
      <w:pPr>
        <w:pStyle w:val="23"/>
        <w:rPr>
          <w:rFonts w:hint="eastAsia"/>
          <w:color w:val="auto"/>
        </w:rPr>
      </w:pPr>
      <w:r>
        <w:rPr>
          <w:rFonts w:hint="eastAsia"/>
          <w:color w:val="auto"/>
        </w:rPr>
        <w:t>[</w:t>
      </w:r>
      <w:r>
        <w:rPr>
          <w:rFonts w:hint="eastAsia"/>
          <w:color w:val="auto"/>
          <w:lang w:val="en-US" w:eastAsia="zh-CN"/>
        </w:rPr>
        <w:t>6</w:t>
      </w:r>
      <w:r>
        <w:rPr>
          <w:rFonts w:hint="eastAsia"/>
          <w:color w:val="auto"/>
        </w:rPr>
        <w:t>] 国家食品药品监督管理总局 《食品生产经营日常监督检查管理办法》（第23号令）</w:t>
      </w:r>
    </w:p>
    <w:p>
      <w:pPr>
        <w:pStyle w:val="23"/>
        <w:rPr>
          <w:rFonts w:hint="eastAsia"/>
          <w:color w:val="auto"/>
        </w:rPr>
      </w:pPr>
      <w:r>
        <w:rPr>
          <w:rFonts w:hint="eastAsia"/>
          <w:color w:val="auto"/>
        </w:rPr>
        <w:t>[</w:t>
      </w:r>
      <w:r>
        <w:rPr>
          <w:rFonts w:hint="eastAsia"/>
          <w:color w:val="auto"/>
          <w:lang w:val="en-US" w:eastAsia="zh-CN"/>
        </w:rPr>
        <w:t>7</w:t>
      </w:r>
      <w:r>
        <w:rPr>
          <w:rFonts w:hint="eastAsia"/>
          <w:color w:val="auto"/>
        </w:rPr>
        <w:t xml:space="preserve">] </w:t>
      </w:r>
      <w:r>
        <w:rPr>
          <w:color w:val="auto"/>
        </w:rPr>
        <w:t>国家市场监督管理总</w:t>
      </w:r>
      <w:r>
        <w:rPr>
          <w:rFonts w:hint="eastAsia"/>
          <w:color w:val="auto"/>
        </w:rPr>
        <w:t>局《</w:t>
      </w:r>
      <w:r>
        <w:rPr>
          <w:color w:val="auto"/>
        </w:rPr>
        <w:t>企业落实食品安全主体责任监督管理规定</w:t>
      </w:r>
      <w:r>
        <w:rPr>
          <w:rFonts w:hint="eastAsia"/>
          <w:color w:val="auto"/>
        </w:rPr>
        <w:t>》(</w:t>
      </w:r>
      <w:r>
        <w:rPr>
          <w:color w:val="auto"/>
        </w:rPr>
        <w:t>第60号</w:t>
      </w:r>
      <w:r>
        <w:rPr>
          <w:rFonts w:hint="eastAsia"/>
          <w:color w:val="auto"/>
        </w:rPr>
        <w:t>令)</w:t>
      </w:r>
    </w:p>
    <w:p>
      <w:pPr>
        <w:pStyle w:val="23"/>
        <w:rPr>
          <w:rFonts w:hint="eastAsia"/>
          <w:color w:val="auto"/>
        </w:rPr>
      </w:pPr>
      <w:r>
        <w:rPr>
          <w:rFonts w:hint="eastAsia"/>
          <w:color w:val="auto"/>
        </w:rPr>
        <w:t>[</w:t>
      </w:r>
      <w:r>
        <w:rPr>
          <w:rFonts w:hint="eastAsia"/>
          <w:color w:val="auto"/>
          <w:lang w:val="en-US" w:eastAsia="zh-CN"/>
        </w:rPr>
        <w:t>8</w:t>
      </w:r>
      <w:r>
        <w:rPr>
          <w:rFonts w:hint="eastAsia"/>
          <w:color w:val="auto"/>
        </w:rPr>
        <w:t>] 国家市场监督管理总局《</w:t>
      </w:r>
      <w:r>
        <w:rPr>
          <w:color w:val="auto"/>
        </w:rPr>
        <w:t>食品经营许可审查通则</w:t>
      </w:r>
      <w:r>
        <w:rPr>
          <w:rFonts w:hint="eastAsia"/>
          <w:color w:val="auto"/>
        </w:rPr>
        <w:t>》（2024第12号公告）</w:t>
      </w:r>
    </w:p>
    <w:p>
      <w:pPr>
        <w:pStyle w:val="23"/>
        <w:rPr>
          <w:color w:val="auto"/>
        </w:rPr>
      </w:pPr>
      <w:r>
        <w:rPr>
          <w:rFonts w:hint="eastAsia"/>
          <w:color w:val="auto"/>
        </w:rPr>
        <w:t>[</w:t>
      </w:r>
      <w:r>
        <w:rPr>
          <w:rFonts w:hint="eastAsia"/>
          <w:color w:val="auto"/>
          <w:lang w:val="en-US" w:eastAsia="zh-CN"/>
        </w:rPr>
        <w:t>9</w:t>
      </w:r>
      <w:r>
        <w:rPr>
          <w:rFonts w:hint="eastAsia"/>
          <w:color w:val="auto"/>
        </w:rPr>
        <w:t>] 教育部、国家市场监督管理总局、国家卫生健康委员会 《学校食品安全与营养管理规定》（第45号令）</w:t>
      </w:r>
    </w:p>
    <w:p>
      <w:pPr>
        <w:pStyle w:val="23"/>
        <w:rPr>
          <w:color w:val="auto"/>
        </w:rPr>
      </w:pPr>
      <w:r>
        <w:rPr>
          <w:rFonts w:hint="eastAsia"/>
          <w:color w:val="auto"/>
        </w:rPr>
        <w:t>[</w:t>
      </w:r>
      <w:r>
        <w:rPr>
          <w:rFonts w:hint="eastAsia"/>
          <w:color w:val="auto"/>
          <w:lang w:val="en-US" w:eastAsia="zh-CN"/>
        </w:rPr>
        <w:t>10</w:t>
      </w:r>
      <w:r>
        <w:rPr>
          <w:rFonts w:hint="eastAsia"/>
          <w:color w:val="auto"/>
        </w:rPr>
        <w:t>] 教育部、公安部 《高等学校消防安全管理规定》（第28号令）</w:t>
      </w:r>
    </w:p>
    <w:p>
      <w:pPr>
        <w:pStyle w:val="23"/>
        <w:rPr>
          <w:color w:val="auto"/>
        </w:rPr>
      </w:pPr>
      <w:r>
        <w:rPr>
          <w:rFonts w:hint="eastAsia"/>
          <w:color w:val="auto"/>
        </w:rPr>
        <w:t>[</w:t>
      </w:r>
      <w:r>
        <w:rPr>
          <w:rFonts w:hint="eastAsia"/>
          <w:color w:val="auto"/>
          <w:lang w:val="en-US" w:eastAsia="zh-CN"/>
        </w:rPr>
        <w:t>11</w:t>
      </w:r>
      <w:r>
        <w:rPr>
          <w:rFonts w:hint="eastAsia"/>
          <w:color w:val="auto"/>
        </w:rPr>
        <w:t>]《餐饮服务食品安全操作规范》（国家市场监督管理总局〔2018〕第18号 )</w:t>
      </w:r>
    </w:p>
    <w:p>
      <w:pPr>
        <w:pStyle w:val="23"/>
        <w:rPr>
          <w:color w:val="auto"/>
        </w:rPr>
      </w:pPr>
      <w:r>
        <w:rPr>
          <w:rFonts w:hint="eastAsia"/>
          <w:color w:val="auto"/>
        </w:rPr>
        <w:t>[</w:t>
      </w:r>
      <w:r>
        <w:rPr>
          <w:rFonts w:hint="eastAsia"/>
          <w:color w:val="auto"/>
          <w:lang w:val="en-US" w:eastAsia="zh-CN"/>
        </w:rPr>
        <w:t>12</w:t>
      </w:r>
      <w:r>
        <w:rPr>
          <w:rFonts w:hint="eastAsia"/>
          <w:color w:val="auto"/>
        </w:rPr>
        <w:t>] 国家食品药品监督管理总局</w:t>
      </w:r>
      <w:r>
        <w:rPr>
          <w:rFonts w:hAnsi="宋体" w:cs="Arial"/>
          <w:color w:val="auto"/>
        </w:rPr>
        <w:t>《食品经营许可管理办法》</w:t>
      </w:r>
      <w:r>
        <w:rPr>
          <w:rFonts w:hint="eastAsia" w:hAnsi="宋体" w:cs="Arial"/>
          <w:color w:val="auto"/>
        </w:rPr>
        <w:t>（2015第17号令）</w:t>
      </w:r>
    </w:p>
    <w:p>
      <w:pPr>
        <w:pStyle w:val="23"/>
        <w:rPr>
          <w:color w:val="auto"/>
        </w:rPr>
      </w:pPr>
      <w:r>
        <w:rPr>
          <w:rFonts w:hint="eastAsia"/>
          <w:color w:val="auto"/>
        </w:rPr>
        <w:t>[1</w:t>
      </w:r>
      <w:r>
        <w:rPr>
          <w:rFonts w:hint="eastAsia"/>
          <w:color w:val="auto"/>
          <w:lang w:val="en-US" w:eastAsia="zh-CN"/>
        </w:rPr>
        <w:t>3</w:t>
      </w:r>
      <w:r>
        <w:rPr>
          <w:rFonts w:hint="eastAsia"/>
          <w:color w:val="auto"/>
        </w:rPr>
        <w:t>] 河北省人民政府 《河北省餐厨废弃物管理办法》（〔2012〕第14号令）</w:t>
      </w:r>
    </w:p>
    <w:p>
      <w:pPr>
        <w:pStyle w:val="23"/>
        <w:rPr>
          <w:color w:val="auto"/>
        </w:rPr>
      </w:pPr>
      <w:r>
        <w:rPr>
          <w:rFonts w:hint="eastAsia"/>
          <w:color w:val="auto"/>
        </w:rPr>
        <w:t>[1</w:t>
      </w:r>
      <w:r>
        <w:rPr>
          <w:rFonts w:hint="eastAsia"/>
          <w:color w:val="auto"/>
          <w:lang w:val="en-US" w:eastAsia="zh-CN"/>
        </w:rPr>
        <w:t>4</w:t>
      </w:r>
      <w:r>
        <w:rPr>
          <w:rFonts w:hint="eastAsia"/>
          <w:color w:val="auto"/>
        </w:rPr>
        <w:t>] 河北省教育厅 《河北省教育系统突发公共事件应急预案》（冀教安〔2013〕32 号）</w:t>
      </w:r>
    </w:p>
    <w:p>
      <w:pPr>
        <w:pStyle w:val="23"/>
        <w:rPr>
          <w:rFonts w:hint="eastAsia"/>
          <w:color w:val="auto"/>
        </w:rPr>
      </w:pPr>
      <w:r>
        <w:rPr>
          <w:rFonts w:hint="eastAsia"/>
          <w:color w:val="auto"/>
        </w:rPr>
        <w:t>[1</w:t>
      </w:r>
      <w:r>
        <w:rPr>
          <w:rFonts w:hint="eastAsia"/>
          <w:color w:val="auto"/>
          <w:lang w:val="en-US" w:eastAsia="zh-CN"/>
        </w:rPr>
        <w:t>5</w:t>
      </w:r>
      <w:r>
        <w:rPr>
          <w:rFonts w:hint="eastAsia"/>
          <w:color w:val="auto"/>
        </w:rPr>
        <w:t>] 河北省食品药品监督管理局 《关于印发&lt;河北省“明厨亮灶”工作实施方案&gt;的通知》（冀食药监餐饮〔2014〕338 号）</w:t>
      </w:r>
    </w:p>
    <w:p>
      <w:pPr>
        <w:pStyle w:val="23"/>
        <w:rPr>
          <w:rFonts w:hint="eastAsia"/>
          <w:color w:val="auto"/>
        </w:rPr>
      </w:pPr>
      <w:r>
        <w:rPr>
          <w:rFonts w:hint="eastAsia"/>
          <w:color w:val="auto"/>
        </w:rPr>
        <w:t>[1</w:t>
      </w:r>
      <w:r>
        <w:rPr>
          <w:rFonts w:hint="eastAsia"/>
          <w:color w:val="auto"/>
          <w:lang w:val="en-US" w:eastAsia="zh-CN"/>
        </w:rPr>
        <w:t>6</w:t>
      </w:r>
      <w:r>
        <w:rPr>
          <w:rFonts w:hint="eastAsia"/>
          <w:color w:val="auto"/>
        </w:rPr>
        <w:t xml:space="preserve">] </w:t>
      </w:r>
      <w:r>
        <w:rPr>
          <w:color w:val="auto"/>
        </w:rPr>
        <w:t>河北省餐饮服务从业人员佩戴口罩规定(河北省第十三届人民代表大会常务委员会公告（第119号）</w:t>
      </w:r>
    </w:p>
    <w:p>
      <w:pPr>
        <w:pStyle w:val="138"/>
        <w:bidi w:val="0"/>
      </w:pPr>
      <w:r>
        <w:t>_____________________</w:t>
      </w:r>
    </w:p>
    <w:sectPr>
      <w:footerReference r:id="rId6" w:type="default"/>
      <w:pgSz w:w="11906" w:h="16838"/>
      <w:pgMar w:top="567" w:right="1134" w:bottom="1134" w:left="1418" w:header="1418" w:footer="1134" w:gutter="0"/>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方正黑体_GBK">
    <w:panose1 w:val="02000000000000000000"/>
    <w:charset w:val="86"/>
    <w:family w:val="auto"/>
    <w:pitch w:val="default"/>
    <w:sig w:usb0="00000001" w:usb1="08000000" w:usb2="00000000" w:usb3="00000000" w:csb0="00040000" w:csb1="00000000"/>
  </w:font>
  <w:font w:name="Cambria Math">
    <w:altName w:val="DejaVu Math TeX Gyre"/>
    <w:panose1 w:val="02040503050406030204"/>
    <w:charset w:val="00"/>
    <w:family w:val="roman"/>
    <w:pitch w:val="default"/>
    <w:sig w:usb0="00000000" w:usb1="00000000" w:usb2="00000000" w:usb3="00000000" w:csb0="0000019F" w:csb1="00000000"/>
  </w:font>
  <w:font w:name="华文仿宋">
    <w:altName w:val="汉仪仿宋简"/>
    <w:panose1 w:val="02010600040101010101"/>
    <w:charset w:val="86"/>
    <w:family w:val="auto"/>
    <w:pitch w:val="default"/>
    <w:sig w:usb0="00000000" w:usb1="00000000" w:usb2="00000010" w:usb3="00000000" w:csb0="0004009F" w:csb1="00000000"/>
  </w:font>
  <w:font w:name="仿宋_GB2312">
    <w:altName w:val="方正仿宋_GBK"/>
    <w:panose1 w:val="00000000000000000000"/>
    <w:charset w:val="86"/>
    <w:family w:val="modern"/>
    <w:pitch w:val="default"/>
    <w:sig w:usb0="00000000" w:usb1="00000000" w:usb2="00000000" w:usb3="00000000" w:csb0="00040000" w:csb1="00000000"/>
  </w:font>
  <w:font w:name="MS Mincho">
    <w:altName w:val="方正书宋_GBK"/>
    <w:panose1 w:val="02020609040205080304"/>
    <w:charset w:val="80"/>
    <w:family w:val="modern"/>
    <w:pitch w:val="default"/>
    <w:sig w:usb0="00000000" w:usb1="00000000" w:usb2="00000012" w:usb3="00000000" w:csb0="000200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汉仪仿宋简">
    <w:panose1 w:val="02010600000101010101"/>
    <w:charset w:val="86"/>
    <w:family w:val="auto"/>
    <w:pitch w:val="default"/>
    <w:sig w:usb0="00000001" w:usb1="080E0800" w:usb2="00000002"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cs="Times New Roman"/>
      </w:rPr>
    </w:pPr>
    <w:r>
      <w:pict>
        <v:shape id="_x0000_s2056" o:spid="_x0000_s2056"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txbxContent>
          </v:textbox>
        </v:shape>
      </w:pict>
    </w:r>
    <w:r>
      <w:pict>
        <v:shape id="_x0000_s2050" o:spid="_x0000_s2050" o:spt="202" type="#_x0000_t202" style="position:absolute;left:0pt;margin-top:0pt;height:144pt;width:144pt;mso-position-horizontal:right;mso-position-horizontal-relative:margin;mso-wrap-style:none;z-index:251655168;mso-width-relative:page;mso-height-relative:page;" filled="f" stroked="f" coordsize="21600,21600">
          <v:path/>
          <v:fill on="f" focussize="0,0"/>
          <v:stroke on="f" joinstyle="miter"/>
          <v:imagedata o:title=""/>
          <o:lock v:ext="edit"/>
          <v:textbox inset="0mm,0mm,0mm,0mm" style="mso-fit-shape-to-text:t;">
            <w:txbxContent>
              <w:p>
                <w:pPr>
                  <w:pStyle w:val="17"/>
                </w:pPr>
                <w:r>
                  <w:rPr>
                    <w:rFonts w:hint="eastAsia"/>
                  </w:rPr>
                  <w:t>I</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cs="Times New Roman"/>
      </w:rPr>
    </w:pPr>
    <w:r>
      <w:pict>
        <v:shape id="_x0000_s2057" o:spid="_x0000_s205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txbxContent>
          </v:textbox>
        </v:shape>
      </w:pict>
    </w:r>
    <w:r>
      <w:pict>
        <v:shape id="_x0000_s2055" o:spid="_x0000_s2055"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7"/>
                </w:pPr>
                <w:r>
                  <w:rPr>
                    <w:rFonts w:hint="eastAsia"/>
                  </w:rPr>
                  <w:t>II</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rPr>
        <w:rFonts w:cs="Times New Roman"/>
      </w:rPr>
    </w:pPr>
    <w:r>
      <w:pict>
        <v:shape id="_x0000_s2052" o:spid="_x0000_s2052" o:spt="202" type="#_x0000_t202" style="position:absolute;left:0pt;margin-top:0pt;height:144pt;width:144pt;mso-position-horizontal:outside;mso-position-horizontal-relative:margin;mso-wrap-style:none;z-index:251657216;mso-width-relative:page;mso-height-relative:page;" filled="f" stroked="f" coordsize="21600,21600">
          <v:path/>
          <v:fill on="f" focussize="0,0"/>
          <v:stroke on="f" joinstyle="miter"/>
          <v:imagedata o:title=""/>
          <o:lock v:ext="edit"/>
          <v:textbox inset="0mm,0mm,0mm,0mm" style="mso-fit-shape-to-text:t;">
            <w:txbxContent>
              <w:p>
                <w:pPr>
                  <w:pStyle w:val="17"/>
                </w:pPr>
                <w:r>
                  <w:fldChar w:fldCharType="begin"/>
                </w:r>
                <w:r>
                  <w:instrText xml:space="preserve"> PAGE  \* MERGEFORMAT </w:instrText>
                </w:r>
                <w:r>
                  <w:fldChar w:fldCharType="separate"/>
                </w:r>
                <w:r>
                  <w:t>8</w:t>
                </w:r>
                <w:r>
                  <w:fldChar w:fldCharType="end"/>
                </w:r>
              </w:p>
            </w:txbxContent>
          </v:textbox>
        </v:shape>
      </w:pict>
    </w:r>
    <w:r>
      <w:pict>
        <v:shape id="_x0000_s2051" o:spid="_x0000_s2051" o:spt="202" type="#_x0000_t202" style="position:absolute;left:0pt;margin-top:0pt;height:144pt;width:144pt;mso-position-horizontal:right;mso-position-horizontal-relative:margin;mso-wrap-style:none;z-index:251656192;mso-width-relative:page;mso-height-relative:page;" filled="f" stroked="f" coordsize="21600,21600">
          <v:path/>
          <v:fill on="f" focussize="0,0"/>
          <v:stroke on="f" joinstyle="miter"/>
          <v:imagedata o:title=""/>
          <o:lock v:ext="edit"/>
          <v:textbox inset="0mm,0mm,0mm,0mm" style="mso-fit-shape-to-text:t;">
            <w:txbxContent>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3"/>
      <w:wordWrap w:val="0"/>
      <w:rPr>
        <w:rFonts w:hint="default" w:eastAsia="黑体"/>
        <w:lang w:val="en-US" w:eastAsia="zh-CN"/>
      </w:rPr>
    </w:pPr>
    <w:r>
      <w:t>DB1308/T 2</w:t>
    </w:r>
    <w:r>
      <w:rPr>
        <w:rFonts w:hint="eastAsia"/>
      </w:rPr>
      <w:t>63</w:t>
    </w:r>
    <w:r>
      <w:rPr>
        <w:rFonts w:cs="Times New Roman"/>
      </w:rPr>
      <w:t>—</w:t>
    </w:r>
    <w:r>
      <w:t>20</w:t>
    </w:r>
    <w:r>
      <w:rPr>
        <w:rFonts w:hint="eastAsia"/>
        <w:lang w:val="en-US" w:eastAsia="zh-CN"/>
      </w:rPr>
      <w:t>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74"/>
      <w:suff w:val="nothing"/>
      <w:lvlText w:val="注%1："/>
      <w:lvlJc w:val="left"/>
      <w:pPr>
        <w:ind w:left="811" w:hanging="448"/>
      </w:pPr>
      <w:rPr>
        <w:rFonts w:hint="eastAsia" w:ascii="黑体" w:eastAsia="黑体"/>
        <w:b w:val="0"/>
        <w:bCs w:val="0"/>
        <w:i w:val="0"/>
        <w:iCs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
    <w:nsid w:val="1FC91163"/>
    <w:multiLevelType w:val="multilevel"/>
    <w:tmpl w:val="1FC91163"/>
    <w:lvl w:ilvl="0" w:tentative="0">
      <w:start w:val="1"/>
      <w:numFmt w:val="decimal"/>
      <w:pStyle w:val="54"/>
      <w:suff w:val="nothing"/>
      <w:lvlText w:val="%1　"/>
      <w:lvlJc w:val="left"/>
      <w:rPr>
        <w:rFonts w:hint="eastAsia" w:ascii="黑体" w:hAnsi="Times New Roman" w:eastAsia="黑体"/>
        <w:b w:val="0"/>
        <w:bCs w:val="0"/>
        <w:i w:val="0"/>
        <w:iCs w:val="0"/>
        <w:sz w:val="21"/>
        <w:szCs w:val="21"/>
      </w:rPr>
    </w:lvl>
    <w:lvl w:ilvl="1" w:tentative="0">
      <w:start w:val="1"/>
      <w:numFmt w:val="decimal"/>
      <w:pStyle w:val="51"/>
      <w:suff w:val="nothing"/>
      <w:lvlText w:val="%1.%2　"/>
      <w:lvlJc w:val="left"/>
      <w:rPr>
        <w:rFonts w:hint="eastAsia" w:ascii="黑体" w:hAnsi="Times New Roman" w:eastAsia="黑体"/>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5"/>
      <w:suff w:val="nothing"/>
      <w:lvlText w:val="%1.%2.%3　"/>
      <w:lvlJc w:val="left"/>
      <w:rPr>
        <w:rFonts w:hint="eastAsia" w:ascii="黑体" w:hAnsi="Times New Roman" w:eastAsia="黑体"/>
        <w:b w:val="0"/>
        <w:bCs w:val="0"/>
        <w:i w:val="0"/>
        <w:iCs w:val="0"/>
        <w:sz w:val="21"/>
        <w:szCs w:val="21"/>
      </w:rPr>
    </w:lvl>
    <w:lvl w:ilvl="3" w:tentative="0">
      <w:start w:val="1"/>
      <w:numFmt w:val="decimal"/>
      <w:pStyle w:val="60"/>
      <w:suff w:val="nothing"/>
      <w:lvlText w:val="%1.%2.%3.%4　"/>
      <w:lvlJc w:val="left"/>
      <w:rPr>
        <w:rFonts w:hint="eastAsia" w:ascii="黑体" w:hAnsi="Times New Roman" w:eastAsia="黑体"/>
        <w:b w:val="0"/>
        <w:bCs w:val="0"/>
        <w:i w:val="0"/>
        <w:iCs w:val="0"/>
        <w:sz w:val="21"/>
        <w:szCs w:val="21"/>
      </w:rPr>
    </w:lvl>
    <w:lvl w:ilvl="4" w:tentative="0">
      <w:start w:val="1"/>
      <w:numFmt w:val="decimal"/>
      <w:pStyle w:val="64"/>
      <w:suff w:val="nothing"/>
      <w:lvlText w:val="%1.%2.%3.%4.%5　"/>
      <w:lvlJc w:val="left"/>
      <w:rPr>
        <w:rFonts w:hint="eastAsia" w:ascii="黑体" w:hAnsi="Times New Roman" w:eastAsia="黑体"/>
        <w:b w:val="0"/>
        <w:bCs w:val="0"/>
        <w:i w:val="0"/>
        <w:iCs w:val="0"/>
        <w:sz w:val="21"/>
        <w:szCs w:val="21"/>
      </w:rPr>
    </w:lvl>
    <w:lvl w:ilvl="5" w:tentative="0">
      <w:start w:val="1"/>
      <w:numFmt w:val="decimal"/>
      <w:pStyle w:val="65"/>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2A8F7113"/>
    <w:multiLevelType w:val="multilevel"/>
    <w:tmpl w:val="2A8F7113"/>
    <w:lvl w:ilvl="0" w:tentative="0">
      <w:start w:val="1"/>
      <w:numFmt w:val="upperLetter"/>
      <w:pStyle w:val="107"/>
      <w:suff w:val="space"/>
      <w:lvlText w:val="%1"/>
      <w:lvlJc w:val="left"/>
      <w:pPr>
        <w:ind w:left="623" w:hanging="425"/>
      </w:pPr>
      <w:rPr>
        <w:rFonts w:hint="eastAsia"/>
      </w:rPr>
    </w:lvl>
    <w:lvl w:ilvl="1" w:tentative="0">
      <w:start w:val="1"/>
      <w:numFmt w:val="decimal"/>
      <w:pStyle w:val="108"/>
      <w:suff w:val="nothing"/>
      <w:lvlText w:val="图%1.%2　"/>
      <w:lvlJc w:val="left"/>
      <w:pPr>
        <w:ind w:left="3544"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3">
    <w:nsid w:val="2C5917C3"/>
    <w:multiLevelType w:val="multilevel"/>
    <w:tmpl w:val="2C5917C3"/>
    <w:lvl w:ilvl="0" w:tentative="0">
      <w:start w:val="1"/>
      <w:numFmt w:val="none"/>
      <w:pStyle w:val="57"/>
      <w:suff w:val="nothing"/>
      <w:lvlText w:val="%1——"/>
      <w:lvlJc w:val="left"/>
      <w:pPr>
        <w:ind w:left="833" w:hanging="408"/>
      </w:pPr>
      <w:rPr>
        <w:rFonts w:hint="eastAsia"/>
      </w:rPr>
    </w:lvl>
    <w:lvl w:ilvl="1" w:tentative="0">
      <w:start w:val="1"/>
      <w:numFmt w:val="bullet"/>
      <w:pStyle w:val="58"/>
      <w:lvlText w:val=""/>
      <w:lvlJc w:val="left"/>
      <w:pPr>
        <w:tabs>
          <w:tab w:val="left" w:pos="760"/>
        </w:tabs>
        <w:ind w:left="1264" w:hanging="413"/>
      </w:pPr>
      <w:rPr>
        <w:rFonts w:hint="default" w:ascii="Symbol" w:hAnsi="Symbol"/>
        <w:color w:val="auto"/>
      </w:rPr>
    </w:lvl>
    <w:lvl w:ilvl="2" w:tentative="0">
      <w:start w:val="1"/>
      <w:numFmt w:val="bullet"/>
      <w:pStyle w:val="6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4">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5">
    <w:nsid w:val="60B55DC2"/>
    <w:multiLevelType w:val="multilevel"/>
    <w:tmpl w:val="60B55DC2"/>
    <w:lvl w:ilvl="0" w:tentative="0">
      <w:start w:val="1"/>
      <w:numFmt w:val="upperLetter"/>
      <w:pStyle w:val="95"/>
      <w:lvlText w:val="%1"/>
      <w:lvlJc w:val="left"/>
      <w:pPr>
        <w:tabs>
          <w:tab w:val="left" w:pos="0"/>
        </w:tabs>
        <w:ind w:hanging="425"/>
      </w:pPr>
      <w:rPr>
        <w:rFonts w:hint="eastAsia"/>
      </w:rPr>
    </w:lvl>
    <w:lvl w:ilvl="1" w:tentative="0">
      <w:start w:val="1"/>
      <w:numFmt w:val="decimal"/>
      <w:pStyle w:val="96"/>
      <w:suff w:val="nothing"/>
      <w:lvlText w:val="表%1.%2　"/>
      <w:lvlJc w:val="left"/>
      <w:pPr>
        <w:ind w:left="4253"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6">
    <w:nsid w:val="657D3FBC"/>
    <w:multiLevelType w:val="multilevel"/>
    <w:tmpl w:val="657D3FBC"/>
    <w:lvl w:ilvl="0" w:tentative="0">
      <w:start w:val="1"/>
      <w:numFmt w:val="upperLetter"/>
      <w:pStyle w:val="93"/>
      <w:suff w:val="nothing"/>
      <w:lvlText w:val="附　录　%1"/>
      <w:lvlJc w:val="left"/>
      <w:rPr>
        <w:rFonts w:hint="eastAsia" w:ascii="黑体" w:hAnsi="Times New Roman" w:eastAsia="黑体"/>
        <w:b w:val="0"/>
        <w:bCs w:val="0"/>
        <w:i w:val="0"/>
        <w:iCs w:val="0"/>
        <w:spacing w:val="0"/>
        <w:w w:val="100"/>
        <w:sz w:val="21"/>
        <w:szCs w:val="21"/>
      </w:rPr>
    </w:lvl>
    <w:lvl w:ilvl="1" w:tentative="0">
      <w:start w:val="1"/>
      <w:numFmt w:val="decimal"/>
      <w:pStyle w:val="111"/>
      <w:suff w:val="nothing"/>
      <w:lvlText w:val="%1.%2　"/>
      <w:lvlJc w:val="left"/>
      <w:rPr>
        <w:rFonts w:hint="eastAsia" w:ascii="黑体" w:hAnsi="Times New Roman" w:eastAsia="黑体"/>
        <w:b w:val="0"/>
        <w:bCs w:val="0"/>
        <w:i w:val="0"/>
        <w:iCs w:val="0"/>
        <w:snapToGrid/>
        <w:spacing w:val="0"/>
        <w:w w:val="100"/>
        <w:kern w:val="21"/>
        <w:sz w:val="21"/>
        <w:szCs w:val="21"/>
      </w:rPr>
    </w:lvl>
    <w:lvl w:ilvl="2" w:tentative="0">
      <w:start w:val="1"/>
      <w:numFmt w:val="decimal"/>
      <w:pStyle w:val="112"/>
      <w:suff w:val="nothing"/>
      <w:lvlText w:val="%1.%2.%3　"/>
      <w:lvlJc w:val="left"/>
      <w:rPr>
        <w:rFonts w:hint="eastAsia" w:ascii="黑体" w:hAnsi="Times New Roman" w:eastAsia="黑体"/>
        <w:b w:val="0"/>
        <w:bCs w:val="0"/>
        <w:i w:val="0"/>
        <w:iCs w:val="0"/>
        <w:sz w:val="21"/>
        <w:szCs w:val="21"/>
      </w:rPr>
    </w:lvl>
    <w:lvl w:ilvl="3" w:tentative="0">
      <w:start w:val="1"/>
      <w:numFmt w:val="decimal"/>
      <w:pStyle w:val="97"/>
      <w:suff w:val="nothing"/>
      <w:lvlText w:val="%1.%2.%3.%4　"/>
      <w:lvlJc w:val="left"/>
      <w:rPr>
        <w:rFonts w:hint="eastAsia" w:ascii="黑体" w:hAnsi="Times New Roman" w:eastAsia="黑体"/>
        <w:b w:val="0"/>
        <w:bCs w:val="0"/>
        <w:i w:val="0"/>
        <w:iCs w:val="0"/>
        <w:sz w:val="21"/>
        <w:szCs w:val="21"/>
      </w:rPr>
    </w:lvl>
    <w:lvl w:ilvl="4" w:tentative="0">
      <w:start w:val="1"/>
      <w:numFmt w:val="decimal"/>
      <w:pStyle w:val="102"/>
      <w:suff w:val="nothing"/>
      <w:lvlText w:val="%1.%2.%3.%4.%5　"/>
      <w:lvlJc w:val="left"/>
      <w:rPr>
        <w:rFonts w:hint="eastAsia" w:ascii="黑体" w:hAnsi="Times New Roman" w:eastAsia="黑体"/>
        <w:b w:val="0"/>
        <w:bCs w:val="0"/>
        <w:i w:val="0"/>
        <w:iCs w:val="0"/>
        <w:sz w:val="21"/>
        <w:szCs w:val="21"/>
      </w:rPr>
    </w:lvl>
    <w:lvl w:ilvl="5" w:tentative="0">
      <w:start w:val="1"/>
      <w:numFmt w:val="decimal"/>
      <w:pStyle w:val="105"/>
      <w:suff w:val="nothing"/>
      <w:lvlText w:val="%1.%2.%3.%4.%5.%6　"/>
      <w:lvlJc w:val="left"/>
      <w:rPr>
        <w:rFonts w:hint="eastAsia" w:ascii="黑体" w:hAnsi="Times New Roman" w:eastAsia="黑体"/>
        <w:b w:val="0"/>
        <w:bCs w:val="0"/>
        <w:i w:val="0"/>
        <w:iCs w:val="0"/>
        <w:sz w:val="21"/>
        <w:szCs w:val="21"/>
      </w:rPr>
    </w:lvl>
    <w:lvl w:ilvl="6" w:tentative="0">
      <w:start w:val="1"/>
      <w:numFmt w:val="decimal"/>
      <w:pStyle w:val="109"/>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13325"/>
        </w:tabs>
        <w:ind w:left="13325" w:hanging="1418"/>
      </w:pPr>
      <w:rPr>
        <w:rFonts w:hint="eastAsia"/>
      </w:rPr>
    </w:lvl>
    <w:lvl w:ilvl="8" w:tentative="0">
      <w:start w:val="1"/>
      <w:numFmt w:val="decimal"/>
      <w:lvlText w:val="%1.%2.%3.%4.%5.%6.%7.%8.%9"/>
      <w:lvlJc w:val="left"/>
      <w:pPr>
        <w:tabs>
          <w:tab w:val="left" w:pos="14033"/>
        </w:tabs>
        <w:ind w:left="14033" w:hanging="1700"/>
      </w:pPr>
      <w:rPr>
        <w:rFonts w:hint="eastAsia"/>
      </w:rPr>
    </w:lvl>
  </w:abstractNum>
  <w:abstractNum w:abstractNumId="7">
    <w:nsid w:val="6D6C07CD"/>
    <w:multiLevelType w:val="multilevel"/>
    <w:tmpl w:val="6D6C07CD"/>
    <w:lvl w:ilvl="0" w:tentative="0">
      <w:start w:val="1"/>
      <w:numFmt w:val="lowerLetter"/>
      <w:pStyle w:val="114"/>
      <w:lvlText w:val="%1)"/>
      <w:lvlJc w:val="left"/>
      <w:pPr>
        <w:tabs>
          <w:tab w:val="left" w:pos="839"/>
        </w:tabs>
        <w:ind w:left="839" w:hanging="419"/>
      </w:pPr>
      <w:rPr>
        <w:rFonts w:hint="eastAsia" w:ascii="宋体" w:eastAsia="宋体"/>
        <w:b w:val="0"/>
        <w:bCs w:val="0"/>
        <w:i w:val="0"/>
        <w:iCs w:val="0"/>
        <w:sz w:val="21"/>
        <w:szCs w:val="21"/>
      </w:rPr>
    </w:lvl>
    <w:lvl w:ilvl="1" w:tentative="0">
      <w:start w:val="1"/>
      <w:numFmt w:val="decimal"/>
      <w:pStyle w:val="104"/>
      <w:lvlText w:val="%2)"/>
      <w:lvlJc w:val="left"/>
      <w:pPr>
        <w:tabs>
          <w:tab w:val="left" w:pos="840"/>
        </w:tabs>
        <w:ind w:left="839" w:hanging="419"/>
      </w:pPr>
      <w:rPr>
        <w:rFonts w:hint="eastAsia" w:ascii="宋体" w:eastAsia="宋体"/>
        <w:b w:val="0"/>
        <w:bCs w:val="0"/>
        <w:i w:val="0"/>
        <w:iCs w:val="0"/>
        <w:sz w:val="21"/>
        <w:szCs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8">
    <w:nsid w:val="7788763A"/>
    <w:multiLevelType w:val="multilevel"/>
    <w:tmpl w:val="7788763A"/>
    <w:lvl w:ilvl="0" w:tentative="0">
      <w:start w:val="1"/>
      <w:numFmt w:val="lowerLetter"/>
      <w:pStyle w:val="68"/>
      <w:lvlText w:val="%1)"/>
      <w:lvlJc w:val="left"/>
      <w:pPr>
        <w:tabs>
          <w:tab w:val="left" w:pos="840"/>
        </w:tabs>
        <w:ind w:left="839" w:hanging="419"/>
      </w:pPr>
      <w:rPr>
        <w:rFonts w:hint="eastAsia" w:ascii="宋体" w:eastAsia="宋体"/>
        <w:b w:val="0"/>
        <w:bCs w:val="0"/>
        <w:i w:val="0"/>
        <w:iCs w:val="0"/>
        <w:sz w:val="21"/>
        <w:szCs w:val="21"/>
      </w:rPr>
    </w:lvl>
    <w:lvl w:ilvl="1" w:tentative="0">
      <w:start w:val="1"/>
      <w:numFmt w:val="decimal"/>
      <w:pStyle w:val="63"/>
      <w:lvlText w:val="%2)"/>
      <w:lvlJc w:val="left"/>
      <w:pPr>
        <w:tabs>
          <w:tab w:val="left" w:pos="1260"/>
        </w:tabs>
        <w:ind w:left="1259" w:hanging="419"/>
      </w:pPr>
      <w:rPr>
        <w:rFonts w:hint="eastAsia"/>
      </w:rPr>
    </w:lvl>
    <w:lvl w:ilvl="2" w:tentative="0">
      <w:start w:val="1"/>
      <w:numFmt w:val="decimal"/>
      <w:pStyle w:val="70"/>
      <w:lvlText w:val="(%3)"/>
      <w:lvlJc w:val="left"/>
      <w:pPr>
        <w:tabs>
          <w:tab w:val="left" w:pos="0"/>
        </w:tabs>
        <w:ind w:left="1679" w:hanging="420"/>
      </w:pPr>
      <w:rPr>
        <w:rFonts w:hint="eastAsia" w:ascii="宋体" w:eastAsia="宋体"/>
        <w:b w:val="0"/>
        <w:bCs w:val="0"/>
        <w:i w:val="0"/>
        <w:iCs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removePersonalInformation/>
  <w:embedSystemFonts/>
  <w:bordersDoNotSurroundHeader w:val="true"/>
  <w:bordersDoNotSurroundFooter w:val="true"/>
  <w:documentProtection w:edit="forms" w:enforcement="0"/>
  <w:defaultTabStop w:val="420"/>
  <w:doNotHyphenateCaps/>
  <w:drawingGridHorizontalSpacing w:val="105"/>
  <w:drawingGridVerticalSpacing w:val="156"/>
  <w:noPunctuationKerning w:val="true"/>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35925"/>
    <w:rsid w:val="00000244"/>
    <w:rsid w:val="00000E43"/>
    <w:rsid w:val="0000185F"/>
    <w:rsid w:val="00002C9A"/>
    <w:rsid w:val="00004BD2"/>
    <w:rsid w:val="00005766"/>
    <w:rsid w:val="0000586F"/>
    <w:rsid w:val="00005F02"/>
    <w:rsid w:val="00006008"/>
    <w:rsid w:val="000073C5"/>
    <w:rsid w:val="000127D4"/>
    <w:rsid w:val="00013278"/>
    <w:rsid w:val="00013D86"/>
    <w:rsid w:val="00013E02"/>
    <w:rsid w:val="000141B1"/>
    <w:rsid w:val="000152BB"/>
    <w:rsid w:val="00016873"/>
    <w:rsid w:val="0002143C"/>
    <w:rsid w:val="000214F1"/>
    <w:rsid w:val="0002181A"/>
    <w:rsid w:val="000223C4"/>
    <w:rsid w:val="00024922"/>
    <w:rsid w:val="000257F7"/>
    <w:rsid w:val="00025A65"/>
    <w:rsid w:val="000265A6"/>
    <w:rsid w:val="00026C31"/>
    <w:rsid w:val="00027280"/>
    <w:rsid w:val="0003129D"/>
    <w:rsid w:val="000320A7"/>
    <w:rsid w:val="00032A90"/>
    <w:rsid w:val="00035925"/>
    <w:rsid w:val="000375BD"/>
    <w:rsid w:val="00041B01"/>
    <w:rsid w:val="00043EBD"/>
    <w:rsid w:val="0004473D"/>
    <w:rsid w:val="00044C95"/>
    <w:rsid w:val="00045BD8"/>
    <w:rsid w:val="00045C40"/>
    <w:rsid w:val="00046CFC"/>
    <w:rsid w:val="000476DD"/>
    <w:rsid w:val="00050107"/>
    <w:rsid w:val="00050475"/>
    <w:rsid w:val="00051684"/>
    <w:rsid w:val="00056492"/>
    <w:rsid w:val="00057748"/>
    <w:rsid w:val="0006210A"/>
    <w:rsid w:val="000637C7"/>
    <w:rsid w:val="00064D6B"/>
    <w:rsid w:val="00066341"/>
    <w:rsid w:val="00067CDF"/>
    <w:rsid w:val="00071F30"/>
    <w:rsid w:val="00074647"/>
    <w:rsid w:val="00074FBE"/>
    <w:rsid w:val="00075CB7"/>
    <w:rsid w:val="00076295"/>
    <w:rsid w:val="00076F71"/>
    <w:rsid w:val="0008002D"/>
    <w:rsid w:val="00080366"/>
    <w:rsid w:val="00083A09"/>
    <w:rsid w:val="00084ED4"/>
    <w:rsid w:val="00086730"/>
    <w:rsid w:val="00086E3A"/>
    <w:rsid w:val="0009005E"/>
    <w:rsid w:val="0009047C"/>
    <w:rsid w:val="00090DA4"/>
    <w:rsid w:val="00092598"/>
    <w:rsid w:val="00092857"/>
    <w:rsid w:val="0009388B"/>
    <w:rsid w:val="00093E78"/>
    <w:rsid w:val="00093E9E"/>
    <w:rsid w:val="00095FD9"/>
    <w:rsid w:val="00096B4B"/>
    <w:rsid w:val="00097C83"/>
    <w:rsid w:val="00097D4B"/>
    <w:rsid w:val="000A0487"/>
    <w:rsid w:val="000A1206"/>
    <w:rsid w:val="000A20A9"/>
    <w:rsid w:val="000A27AC"/>
    <w:rsid w:val="000A2BA1"/>
    <w:rsid w:val="000A48B1"/>
    <w:rsid w:val="000A5D55"/>
    <w:rsid w:val="000A694C"/>
    <w:rsid w:val="000B21F1"/>
    <w:rsid w:val="000B3143"/>
    <w:rsid w:val="000B6A90"/>
    <w:rsid w:val="000C0DE5"/>
    <w:rsid w:val="000C12E3"/>
    <w:rsid w:val="000C1326"/>
    <w:rsid w:val="000C30AE"/>
    <w:rsid w:val="000C43A4"/>
    <w:rsid w:val="000C648F"/>
    <w:rsid w:val="000C6595"/>
    <w:rsid w:val="000C68B5"/>
    <w:rsid w:val="000C6B05"/>
    <w:rsid w:val="000C6DD6"/>
    <w:rsid w:val="000C6FF6"/>
    <w:rsid w:val="000C73A4"/>
    <w:rsid w:val="000C73D4"/>
    <w:rsid w:val="000D1EA2"/>
    <w:rsid w:val="000D3A95"/>
    <w:rsid w:val="000D3D4C"/>
    <w:rsid w:val="000D476A"/>
    <w:rsid w:val="000D4F51"/>
    <w:rsid w:val="000D540C"/>
    <w:rsid w:val="000D6FBA"/>
    <w:rsid w:val="000D718B"/>
    <w:rsid w:val="000D7CD1"/>
    <w:rsid w:val="000E0C46"/>
    <w:rsid w:val="000E0DF7"/>
    <w:rsid w:val="000E1423"/>
    <w:rsid w:val="000E2025"/>
    <w:rsid w:val="000E41AE"/>
    <w:rsid w:val="000E6A37"/>
    <w:rsid w:val="000E7786"/>
    <w:rsid w:val="000F030C"/>
    <w:rsid w:val="000F0A95"/>
    <w:rsid w:val="000F129C"/>
    <w:rsid w:val="000F62BA"/>
    <w:rsid w:val="000F6315"/>
    <w:rsid w:val="000F7045"/>
    <w:rsid w:val="000F7AC4"/>
    <w:rsid w:val="00101144"/>
    <w:rsid w:val="0010261C"/>
    <w:rsid w:val="001050B7"/>
    <w:rsid w:val="001056DE"/>
    <w:rsid w:val="001058E1"/>
    <w:rsid w:val="00106705"/>
    <w:rsid w:val="00106A53"/>
    <w:rsid w:val="0011088A"/>
    <w:rsid w:val="0011215E"/>
    <w:rsid w:val="001121B3"/>
    <w:rsid w:val="001122EA"/>
    <w:rsid w:val="001124C0"/>
    <w:rsid w:val="0011428F"/>
    <w:rsid w:val="00123517"/>
    <w:rsid w:val="00124C5D"/>
    <w:rsid w:val="00126186"/>
    <w:rsid w:val="00126F1A"/>
    <w:rsid w:val="0013065A"/>
    <w:rsid w:val="0013175F"/>
    <w:rsid w:val="001335C0"/>
    <w:rsid w:val="0013456D"/>
    <w:rsid w:val="0013472E"/>
    <w:rsid w:val="00134F22"/>
    <w:rsid w:val="0013638A"/>
    <w:rsid w:val="001374C0"/>
    <w:rsid w:val="00137B94"/>
    <w:rsid w:val="001417A3"/>
    <w:rsid w:val="00141BFD"/>
    <w:rsid w:val="00146A3E"/>
    <w:rsid w:val="001512B4"/>
    <w:rsid w:val="001514A8"/>
    <w:rsid w:val="001517FF"/>
    <w:rsid w:val="001532AD"/>
    <w:rsid w:val="00153612"/>
    <w:rsid w:val="001538B9"/>
    <w:rsid w:val="001548C6"/>
    <w:rsid w:val="00155197"/>
    <w:rsid w:val="001620A5"/>
    <w:rsid w:val="00163843"/>
    <w:rsid w:val="00164A0A"/>
    <w:rsid w:val="00164E53"/>
    <w:rsid w:val="0016699D"/>
    <w:rsid w:val="00167D5B"/>
    <w:rsid w:val="0017106C"/>
    <w:rsid w:val="0017153D"/>
    <w:rsid w:val="00171861"/>
    <w:rsid w:val="001733C4"/>
    <w:rsid w:val="0017399A"/>
    <w:rsid w:val="00173BD7"/>
    <w:rsid w:val="00173C2F"/>
    <w:rsid w:val="00174E95"/>
    <w:rsid w:val="00175159"/>
    <w:rsid w:val="00175548"/>
    <w:rsid w:val="00176208"/>
    <w:rsid w:val="00177CDE"/>
    <w:rsid w:val="0018211B"/>
    <w:rsid w:val="001832E2"/>
    <w:rsid w:val="001840D3"/>
    <w:rsid w:val="001900F8"/>
    <w:rsid w:val="00191258"/>
    <w:rsid w:val="00192680"/>
    <w:rsid w:val="00193037"/>
    <w:rsid w:val="00193A2C"/>
    <w:rsid w:val="001940D3"/>
    <w:rsid w:val="00196C01"/>
    <w:rsid w:val="001A288E"/>
    <w:rsid w:val="001A3424"/>
    <w:rsid w:val="001B0974"/>
    <w:rsid w:val="001B1F4F"/>
    <w:rsid w:val="001B46C5"/>
    <w:rsid w:val="001B47E4"/>
    <w:rsid w:val="001B4BC6"/>
    <w:rsid w:val="001B4F15"/>
    <w:rsid w:val="001B6CDB"/>
    <w:rsid w:val="001B6DC2"/>
    <w:rsid w:val="001B6F55"/>
    <w:rsid w:val="001C146B"/>
    <w:rsid w:val="001C149C"/>
    <w:rsid w:val="001C21AC"/>
    <w:rsid w:val="001C2D32"/>
    <w:rsid w:val="001C47BA"/>
    <w:rsid w:val="001C4897"/>
    <w:rsid w:val="001C4B0E"/>
    <w:rsid w:val="001C4E3B"/>
    <w:rsid w:val="001C59EA"/>
    <w:rsid w:val="001C6961"/>
    <w:rsid w:val="001D0C1C"/>
    <w:rsid w:val="001D289E"/>
    <w:rsid w:val="001D31BA"/>
    <w:rsid w:val="001D3A96"/>
    <w:rsid w:val="001D406C"/>
    <w:rsid w:val="001D41EE"/>
    <w:rsid w:val="001E0380"/>
    <w:rsid w:val="001E04B6"/>
    <w:rsid w:val="001E13B1"/>
    <w:rsid w:val="001E14D8"/>
    <w:rsid w:val="001E2853"/>
    <w:rsid w:val="001E3836"/>
    <w:rsid w:val="001E3B33"/>
    <w:rsid w:val="001E4C62"/>
    <w:rsid w:val="001E4C68"/>
    <w:rsid w:val="001F3352"/>
    <w:rsid w:val="001F3735"/>
    <w:rsid w:val="001F3A19"/>
    <w:rsid w:val="001F6A1D"/>
    <w:rsid w:val="001F74A0"/>
    <w:rsid w:val="00201AA0"/>
    <w:rsid w:val="002028F1"/>
    <w:rsid w:val="00202959"/>
    <w:rsid w:val="00203171"/>
    <w:rsid w:val="0020370D"/>
    <w:rsid w:val="0020427A"/>
    <w:rsid w:val="00204C25"/>
    <w:rsid w:val="002056C9"/>
    <w:rsid w:val="00206ADF"/>
    <w:rsid w:val="00207EB4"/>
    <w:rsid w:val="00207ECF"/>
    <w:rsid w:val="002109B6"/>
    <w:rsid w:val="00210F47"/>
    <w:rsid w:val="002128AF"/>
    <w:rsid w:val="00212EA0"/>
    <w:rsid w:val="00213490"/>
    <w:rsid w:val="00214B83"/>
    <w:rsid w:val="002179D1"/>
    <w:rsid w:val="00221EE9"/>
    <w:rsid w:val="0022594B"/>
    <w:rsid w:val="00226716"/>
    <w:rsid w:val="00226F6C"/>
    <w:rsid w:val="00230996"/>
    <w:rsid w:val="002317B5"/>
    <w:rsid w:val="0023217C"/>
    <w:rsid w:val="00232A63"/>
    <w:rsid w:val="00234467"/>
    <w:rsid w:val="002349AF"/>
    <w:rsid w:val="00236F5D"/>
    <w:rsid w:val="0023793D"/>
    <w:rsid w:val="00237D8D"/>
    <w:rsid w:val="002403F2"/>
    <w:rsid w:val="0024064D"/>
    <w:rsid w:val="002413BF"/>
    <w:rsid w:val="00241DA2"/>
    <w:rsid w:val="002439C0"/>
    <w:rsid w:val="00244594"/>
    <w:rsid w:val="00244FD6"/>
    <w:rsid w:val="002450A1"/>
    <w:rsid w:val="002456D6"/>
    <w:rsid w:val="002465BE"/>
    <w:rsid w:val="002469E3"/>
    <w:rsid w:val="00247FEE"/>
    <w:rsid w:val="00250E7D"/>
    <w:rsid w:val="00251BFD"/>
    <w:rsid w:val="00251F85"/>
    <w:rsid w:val="00252AC1"/>
    <w:rsid w:val="002565D5"/>
    <w:rsid w:val="00257BD7"/>
    <w:rsid w:val="00260A9D"/>
    <w:rsid w:val="00261738"/>
    <w:rsid w:val="002622C0"/>
    <w:rsid w:val="002625EA"/>
    <w:rsid w:val="002664CD"/>
    <w:rsid w:val="00272CDB"/>
    <w:rsid w:val="002743B1"/>
    <w:rsid w:val="00275113"/>
    <w:rsid w:val="002778AE"/>
    <w:rsid w:val="00277DD9"/>
    <w:rsid w:val="00280657"/>
    <w:rsid w:val="0028087B"/>
    <w:rsid w:val="00281394"/>
    <w:rsid w:val="0028269A"/>
    <w:rsid w:val="00282A29"/>
    <w:rsid w:val="00283590"/>
    <w:rsid w:val="00286973"/>
    <w:rsid w:val="00286CF6"/>
    <w:rsid w:val="00291052"/>
    <w:rsid w:val="002928B3"/>
    <w:rsid w:val="0029374C"/>
    <w:rsid w:val="00294E70"/>
    <w:rsid w:val="002958A7"/>
    <w:rsid w:val="0029631C"/>
    <w:rsid w:val="00296A79"/>
    <w:rsid w:val="002A119F"/>
    <w:rsid w:val="002A1924"/>
    <w:rsid w:val="002A3EDD"/>
    <w:rsid w:val="002A4023"/>
    <w:rsid w:val="002A54E3"/>
    <w:rsid w:val="002A5C6C"/>
    <w:rsid w:val="002A608C"/>
    <w:rsid w:val="002A7420"/>
    <w:rsid w:val="002B00DD"/>
    <w:rsid w:val="002B08A4"/>
    <w:rsid w:val="002B0F12"/>
    <w:rsid w:val="002B1308"/>
    <w:rsid w:val="002B2285"/>
    <w:rsid w:val="002B33AA"/>
    <w:rsid w:val="002B4007"/>
    <w:rsid w:val="002B4554"/>
    <w:rsid w:val="002B48EA"/>
    <w:rsid w:val="002C52CC"/>
    <w:rsid w:val="002C6996"/>
    <w:rsid w:val="002C6A3E"/>
    <w:rsid w:val="002C72D8"/>
    <w:rsid w:val="002D11FA"/>
    <w:rsid w:val="002D1394"/>
    <w:rsid w:val="002D5A19"/>
    <w:rsid w:val="002D5ED1"/>
    <w:rsid w:val="002D6074"/>
    <w:rsid w:val="002D6CAD"/>
    <w:rsid w:val="002E0DDF"/>
    <w:rsid w:val="002E188D"/>
    <w:rsid w:val="002E2906"/>
    <w:rsid w:val="002E5635"/>
    <w:rsid w:val="002E580D"/>
    <w:rsid w:val="002E64C3"/>
    <w:rsid w:val="002E6A2C"/>
    <w:rsid w:val="002F01A7"/>
    <w:rsid w:val="002F0A1A"/>
    <w:rsid w:val="002F117E"/>
    <w:rsid w:val="002F17A4"/>
    <w:rsid w:val="002F1D8C"/>
    <w:rsid w:val="002F21DA"/>
    <w:rsid w:val="002F5538"/>
    <w:rsid w:val="002F5DC0"/>
    <w:rsid w:val="002F7096"/>
    <w:rsid w:val="002F71D5"/>
    <w:rsid w:val="00300306"/>
    <w:rsid w:val="00301A60"/>
    <w:rsid w:val="00301F39"/>
    <w:rsid w:val="003037BA"/>
    <w:rsid w:val="00306E6E"/>
    <w:rsid w:val="003074F9"/>
    <w:rsid w:val="00307562"/>
    <w:rsid w:val="00307DEE"/>
    <w:rsid w:val="003104D0"/>
    <w:rsid w:val="0031129F"/>
    <w:rsid w:val="00314902"/>
    <w:rsid w:val="00316308"/>
    <w:rsid w:val="00317B35"/>
    <w:rsid w:val="00317BB8"/>
    <w:rsid w:val="00325926"/>
    <w:rsid w:val="00326260"/>
    <w:rsid w:val="00326BD6"/>
    <w:rsid w:val="00327A8A"/>
    <w:rsid w:val="003314ED"/>
    <w:rsid w:val="00331794"/>
    <w:rsid w:val="00331F89"/>
    <w:rsid w:val="00333B3D"/>
    <w:rsid w:val="0033541D"/>
    <w:rsid w:val="00335BD4"/>
    <w:rsid w:val="00335D09"/>
    <w:rsid w:val="0033610C"/>
    <w:rsid w:val="00336234"/>
    <w:rsid w:val="00336610"/>
    <w:rsid w:val="00337193"/>
    <w:rsid w:val="00337CBF"/>
    <w:rsid w:val="003414AE"/>
    <w:rsid w:val="00342F96"/>
    <w:rsid w:val="003437E2"/>
    <w:rsid w:val="00343E4B"/>
    <w:rsid w:val="00343F73"/>
    <w:rsid w:val="00344691"/>
    <w:rsid w:val="00344744"/>
    <w:rsid w:val="00345060"/>
    <w:rsid w:val="00345BD7"/>
    <w:rsid w:val="003471C9"/>
    <w:rsid w:val="00347E06"/>
    <w:rsid w:val="00350698"/>
    <w:rsid w:val="00351958"/>
    <w:rsid w:val="00352100"/>
    <w:rsid w:val="00352A59"/>
    <w:rsid w:val="00352B19"/>
    <w:rsid w:val="0035323B"/>
    <w:rsid w:val="00354D93"/>
    <w:rsid w:val="00356CA5"/>
    <w:rsid w:val="003578AA"/>
    <w:rsid w:val="0036093C"/>
    <w:rsid w:val="003609D2"/>
    <w:rsid w:val="00361843"/>
    <w:rsid w:val="00361BF3"/>
    <w:rsid w:val="00362EDE"/>
    <w:rsid w:val="00363F22"/>
    <w:rsid w:val="003729AE"/>
    <w:rsid w:val="00375564"/>
    <w:rsid w:val="00376065"/>
    <w:rsid w:val="00382115"/>
    <w:rsid w:val="00382956"/>
    <w:rsid w:val="00383191"/>
    <w:rsid w:val="00383C10"/>
    <w:rsid w:val="0038410F"/>
    <w:rsid w:val="0038512F"/>
    <w:rsid w:val="00385FBD"/>
    <w:rsid w:val="00386DED"/>
    <w:rsid w:val="003877E1"/>
    <w:rsid w:val="00390632"/>
    <w:rsid w:val="0039065F"/>
    <w:rsid w:val="003912E7"/>
    <w:rsid w:val="0039133C"/>
    <w:rsid w:val="00391E05"/>
    <w:rsid w:val="003926A6"/>
    <w:rsid w:val="00393012"/>
    <w:rsid w:val="00393947"/>
    <w:rsid w:val="003939D7"/>
    <w:rsid w:val="00394E8A"/>
    <w:rsid w:val="003A2275"/>
    <w:rsid w:val="003A6A4F"/>
    <w:rsid w:val="003A7088"/>
    <w:rsid w:val="003B00DF"/>
    <w:rsid w:val="003B1275"/>
    <w:rsid w:val="003B1778"/>
    <w:rsid w:val="003B27B4"/>
    <w:rsid w:val="003B31E8"/>
    <w:rsid w:val="003B492E"/>
    <w:rsid w:val="003B4E63"/>
    <w:rsid w:val="003B5E1C"/>
    <w:rsid w:val="003B7912"/>
    <w:rsid w:val="003C0CCD"/>
    <w:rsid w:val="003C11CB"/>
    <w:rsid w:val="003C16D8"/>
    <w:rsid w:val="003C2F69"/>
    <w:rsid w:val="003C382A"/>
    <w:rsid w:val="003C3880"/>
    <w:rsid w:val="003C60C8"/>
    <w:rsid w:val="003C75F3"/>
    <w:rsid w:val="003C78A3"/>
    <w:rsid w:val="003C7AE9"/>
    <w:rsid w:val="003D1FEA"/>
    <w:rsid w:val="003D40FA"/>
    <w:rsid w:val="003D5937"/>
    <w:rsid w:val="003D7792"/>
    <w:rsid w:val="003D7C07"/>
    <w:rsid w:val="003E1867"/>
    <w:rsid w:val="003E1941"/>
    <w:rsid w:val="003E5729"/>
    <w:rsid w:val="003E5C26"/>
    <w:rsid w:val="003E747A"/>
    <w:rsid w:val="003E7BFB"/>
    <w:rsid w:val="003F4EE0"/>
    <w:rsid w:val="003F59A9"/>
    <w:rsid w:val="003F5BEB"/>
    <w:rsid w:val="003F7259"/>
    <w:rsid w:val="0040164A"/>
    <w:rsid w:val="00402153"/>
    <w:rsid w:val="00402FC1"/>
    <w:rsid w:val="00404F56"/>
    <w:rsid w:val="00407DFC"/>
    <w:rsid w:val="00407EF3"/>
    <w:rsid w:val="00410FD3"/>
    <w:rsid w:val="00411C8C"/>
    <w:rsid w:val="004130B1"/>
    <w:rsid w:val="00415C76"/>
    <w:rsid w:val="004238D2"/>
    <w:rsid w:val="00423B93"/>
    <w:rsid w:val="00424907"/>
    <w:rsid w:val="00425082"/>
    <w:rsid w:val="004276CC"/>
    <w:rsid w:val="004306F3"/>
    <w:rsid w:val="00431DEB"/>
    <w:rsid w:val="00437549"/>
    <w:rsid w:val="00437F5B"/>
    <w:rsid w:val="004415FC"/>
    <w:rsid w:val="00442D5F"/>
    <w:rsid w:val="00443E39"/>
    <w:rsid w:val="004458E9"/>
    <w:rsid w:val="00446B29"/>
    <w:rsid w:val="00446C57"/>
    <w:rsid w:val="00447F68"/>
    <w:rsid w:val="00450227"/>
    <w:rsid w:val="00450F4C"/>
    <w:rsid w:val="00451238"/>
    <w:rsid w:val="00453F9A"/>
    <w:rsid w:val="00454D4A"/>
    <w:rsid w:val="0045543D"/>
    <w:rsid w:val="00461B41"/>
    <w:rsid w:val="004624CF"/>
    <w:rsid w:val="00463BC1"/>
    <w:rsid w:val="00464602"/>
    <w:rsid w:val="00464705"/>
    <w:rsid w:val="00465F02"/>
    <w:rsid w:val="004662C7"/>
    <w:rsid w:val="004662C8"/>
    <w:rsid w:val="0046697B"/>
    <w:rsid w:val="00467B8F"/>
    <w:rsid w:val="00471357"/>
    <w:rsid w:val="00471E91"/>
    <w:rsid w:val="00471FD3"/>
    <w:rsid w:val="004722E9"/>
    <w:rsid w:val="00474675"/>
    <w:rsid w:val="0047470C"/>
    <w:rsid w:val="00476B80"/>
    <w:rsid w:val="004839C8"/>
    <w:rsid w:val="00484552"/>
    <w:rsid w:val="004925CE"/>
    <w:rsid w:val="00492777"/>
    <w:rsid w:val="00493F0C"/>
    <w:rsid w:val="004954DE"/>
    <w:rsid w:val="00497147"/>
    <w:rsid w:val="004A0D76"/>
    <w:rsid w:val="004A10A4"/>
    <w:rsid w:val="004A1CDA"/>
    <w:rsid w:val="004A2457"/>
    <w:rsid w:val="004A35F9"/>
    <w:rsid w:val="004A6B01"/>
    <w:rsid w:val="004B1729"/>
    <w:rsid w:val="004B24C1"/>
    <w:rsid w:val="004B24CD"/>
    <w:rsid w:val="004B48E0"/>
    <w:rsid w:val="004B644B"/>
    <w:rsid w:val="004C292F"/>
    <w:rsid w:val="004C299A"/>
    <w:rsid w:val="004C2DDA"/>
    <w:rsid w:val="004C4C7C"/>
    <w:rsid w:val="004C6884"/>
    <w:rsid w:val="004C6C8C"/>
    <w:rsid w:val="004C7CFB"/>
    <w:rsid w:val="004C7FBA"/>
    <w:rsid w:val="004D035B"/>
    <w:rsid w:val="004D3D65"/>
    <w:rsid w:val="004D7D03"/>
    <w:rsid w:val="004E32D5"/>
    <w:rsid w:val="004E3A6A"/>
    <w:rsid w:val="004E47BF"/>
    <w:rsid w:val="004F0D45"/>
    <w:rsid w:val="004F16EF"/>
    <w:rsid w:val="004F1A82"/>
    <w:rsid w:val="004F3DAF"/>
    <w:rsid w:val="004F5B2D"/>
    <w:rsid w:val="00502570"/>
    <w:rsid w:val="0050588E"/>
    <w:rsid w:val="00506E45"/>
    <w:rsid w:val="00506E7C"/>
    <w:rsid w:val="00510280"/>
    <w:rsid w:val="00510593"/>
    <w:rsid w:val="005112CF"/>
    <w:rsid w:val="00512404"/>
    <w:rsid w:val="00512DE5"/>
    <w:rsid w:val="00513D73"/>
    <w:rsid w:val="00514A43"/>
    <w:rsid w:val="00515257"/>
    <w:rsid w:val="005174E5"/>
    <w:rsid w:val="00517765"/>
    <w:rsid w:val="00521D02"/>
    <w:rsid w:val="00522393"/>
    <w:rsid w:val="00522620"/>
    <w:rsid w:val="005248E2"/>
    <w:rsid w:val="00524CDA"/>
    <w:rsid w:val="00524DB8"/>
    <w:rsid w:val="00525656"/>
    <w:rsid w:val="00526361"/>
    <w:rsid w:val="005305F6"/>
    <w:rsid w:val="00530C2B"/>
    <w:rsid w:val="00530E97"/>
    <w:rsid w:val="00533690"/>
    <w:rsid w:val="00534A8A"/>
    <w:rsid w:val="00534C02"/>
    <w:rsid w:val="0053632F"/>
    <w:rsid w:val="00540815"/>
    <w:rsid w:val="00541220"/>
    <w:rsid w:val="00541A49"/>
    <w:rsid w:val="00541FC4"/>
    <w:rsid w:val="0054264B"/>
    <w:rsid w:val="00543786"/>
    <w:rsid w:val="00543889"/>
    <w:rsid w:val="00543DA2"/>
    <w:rsid w:val="005454A9"/>
    <w:rsid w:val="00547079"/>
    <w:rsid w:val="00550DED"/>
    <w:rsid w:val="005519B2"/>
    <w:rsid w:val="00551A76"/>
    <w:rsid w:val="0055215F"/>
    <w:rsid w:val="00552618"/>
    <w:rsid w:val="005533D7"/>
    <w:rsid w:val="005542A6"/>
    <w:rsid w:val="00556924"/>
    <w:rsid w:val="00565744"/>
    <w:rsid w:val="005678B1"/>
    <w:rsid w:val="00567CA4"/>
    <w:rsid w:val="005703DE"/>
    <w:rsid w:val="005709BF"/>
    <w:rsid w:val="00572DF1"/>
    <w:rsid w:val="00574156"/>
    <w:rsid w:val="00575EF3"/>
    <w:rsid w:val="00575EF5"/>
    <w:rsid w:val="005823B4"/>
    <w:rsid w:val="0058258D"/>
    <w:rsid w:val="0058411A"/>
    <w:rsid w:val="0058464E"/>
    <w:rsid w:val="005848E5"/>
    <w:rsid w:val="00584E89"/>
    <w:rsid w:val="00585972"/>
    <w:rsid w:val="005903ED"/>
    <w:rsid w:val="00593AB3"/>
    <w:rsid w:val="00595DAA"/>
    <w:rsid w:val="005A01CB"/>
    <w:rsid w:val="005A01F5"/>
    <w:rsid w:val="005A03FE"/>
    <w:rsid w:val="005A1CAB"/>
    <w:rsid w:val="005A1D38"/>
    <w:rsid w:val="005A2AF1"/>
    <w:rsid w:val="005A58FF"/>
    <w:rsid w:val="005A5EAF"/>
    <w:rsid w:val="005A64C0"/>
    <w:rsid w:val="005B0BCE"/>
    <w:rsid w:val="005B3014"/>
    <w:rsid w:val="005B3C11"/>
    <w:rsid w:val="005B48D4"/>
    <w:rsid w:val="005B66FC"/>
    <w:rsid w:val="005B6E16"/>
    <w:rsid w:val="005B6ED1"/>
    <w:rsid w:val="005C0997"/>
    <w:rsid w:val="005C1C28"/>
    <w:rsid w:val="005C254E"/>
    <w:rsid w:val="005C6DB5"/>
    <w:rsid w:val="005C6F34"/>
    <w:rsid w:val="005C7B47"/>
    <w:rsid w:val="005D01AC"/>
    <w:rsid w:val="005D0CF2"/>
    <w:rsid w:val="005D140A"/>
    <w:rsid w:val="005D68C5"/>
    <w:rsid w:val="005D7C6B"/>
    <w:rsid w:val="005E0C56"/>
    <w:rsid w:val="005E19E7"/>
    <w:rsid w:val="005E2906"/>
    <w:rsid w:val="005E33E1"/>
    <w:rsid w:val="005E3431"/>
    <w:rsid w:val="005E3EC1"/>
    <w:rsid w:val="005E4B74"/>
    <w:rsid w:val="005E5578"/>
    <w:rsid w:val="005F0F04"/>
    <w:rsid w:val="005F3027"/>
    <w:rsid w:val="005F319C"/>
    <w:rsid w:val="005F5411"/>
    <w:rsid w:val="005F5801"/>
    <w:rsid w:val="005F58B1"/>
    <w:rsid w:val="005F66E6"/>
    <w:rsid w:val="005F6C1C"/>
    <w:rsid w:val="00600332"/>
    <w:rsid w:val="0060068D"/>
    <w:rsid w:val="006019A6"/>
    <w:rsid w:val="00602E31"/>
    <w:rsid w:val="00603279"/>
    <w:rsid w:val="00603463"/>
    <w:rsid w:val="00603508"/>
    <w:rsid w:val="00605D37"/>
    <w:rsid w:val="00606709"/>
    <w:rsid w:val="006106E2"/>
    <w:rsid w:val="00611F57"/>
    <w:rsid w:val="006141A7"/>
    <w:rsid w:val="006145D5"/>
    <w:rsid w:val="0061558C"/>
    <w:rsid w:val="0061716C"/>
    <w:rsid w:val="00617733"/>
    <w:rsid w:val="006223C6"/>
    <w:rsid w:val="00622ED0"/>
    <w:rsid w:val="006243A1"/>
    <w:rsid w:val="00625138"/>
    <w:rsid w:val="006268EB"/>
    <w:rsid w:val="00632BDD"/>
    <w:rsid w:val="00632E56"/>
    <w:rsid w:val="00632EA4"/>
    <w:rsid w:val="006336CE"/>
    <w:rsid w:val="00633897"/>
    <w:rsid w:val="00634632"/>
    <w:rsid w:val="00635CBA"/>
    <w:rsid w:val="00636CCB"/>
    <w:rsid w:val="00637795"/>
    <w:rsid w:val="00637A40"/>
    <w:rsid w:val="00642FFD"/>
    <w:rsid w:val="0064338B"/>
    <w:rsid w:val="00644BE3"/>
    <w:rsid w:val="00646542"/>
    <w:rsid w:val="006504F4"/>
    <w:rsid w:val="00650B4C"/>
    <w:rsid w:val="00651CA3"/>
    <w:rsid w:val="00652726"/>
    <w:rsid w:val="006545BD"/>
    <w:rsid w:val="00654BC9"/>
    <w:rsid w:val="006550FF"/>
    <w:rsid w:val="006552FD"/>
    <w:rsid w:val="006603E1"/>
    <w:rsid w:val="006611AB"/>
    <w:rsid w:val="00662256"/>
    <w:rsid w:val="00662BAF"/>
    <w:rsid w:val="0066343B"/>
    <w:rsid w:val="00663AF3"/>
    <w:rsid w:val="00666B6C"/>
    <w:rsid w:val="00670080"/>
    <w:rsid w:val="00672812"/>
    <w:rsid w:val="00677FC2"/>
    <w:rsid w:val="006820DC"/>
    <w:rsid w:val="00682682"/>
    <w:rsid w:val="00682702"/>
    <w:rsid w:val="00683516"/>
    <w:rsid w:val="00683575"/>
    <w:rsid w:val="00683A87"/>
    <w:rsid w:val="00684227"/>
    <w:rsid w:val="006849A5"/>
    <w:rsid w:val="00685D22"/>
    <w:rsid w:val="00686802"/>
    <w:rsid w:val="00686C39"/>
    <w:rsid w:val="00687FF3"/>
    <w:rsid w:val="0069099A"/>
    <w:rsid w:val="00691A74"/>
    <w:rsid w:val="00692368"/>
    <w:rsid w:val="0069254F"/>
    <w:rsid w:val="00692F30"/>
    <w:rsid w:val="0069767B"/>
    <w:rsid w:val="006A1617"/>
    <w:rsid w:val="006A21B9"/>
    <w:rsid w:val="006A2B04"/>
    <w:rsid w:val="006A2EBC"/>
    <w:rsid w:val="006A3A12"/>
    <w:rsid w:val="006A3F29"/>
    <w:rsid w:val="006A5129"/>
    <w:rsid w:val="006A5A25"/>
    <w:rsid w:val="006A5EA0"/>
    <w:rsid w:val="006A705D"/>
    <w:rsid w:val="006A755D"/>
    <w:rsid w:val="006A783B"/>
    <w:rsid w:val="006A7B33"/>
    <w:rsid w:val="006A7C6A"/>
    <w:rsid w:val="006B1AC5"/>
    <w:rsid w:val="006B2705"/>
    <w:rsid w:val="006B4E13"/>
    <w:rsid w:val="006B584A"/>
    <w:rsid w:val="006B75DD"/>
    <w:rsid w:val="006C11E8"/>
    <w:rsid w:val="006C1510"/>
    <w:rsid w:val="006C218A"/>
    <w:rsid w:val="006C284A"/>
    <w:rsid w:val="006C29AA"/>
    <w:rsid w:val="006C363E"/>
    <w:rsid w:val="006C367B"/>
    <w:rsid w:val="006C562E"/>
    <w:rsid w:val="006C67E0"/>
    <w:rsid w:val="006C76C6"/>
    <w:rsid w:val="006C7ABA"/>
    <w:rsid w:val="006D0D60"/>
    <w:rsid w:val="006D1122"/>
    <w:rsid w:val="006D3C00"/>
    <w:rsid w:val="006D5479"/>
    <w:rsid w:val="006D5CD0"/>
    <w:rsid w:val="006D64C2"/>
    <w:rsid w:val="006D7567"/>
    <w:rsid w:val="006E23AC"/>
    <w:rsid w:val="006E2B3E"/>
    <w:rsid w:val="006E2D00"/>
    <w:rsid w:val="006E3171"/>
    <w:rsid w:val="006E3675"/>
    <w:rsid w:val="006E3EA2"/>
    <w:rsid w:val="006E4A7F"/>
    <w:rsid w:val="006E71CC"/>
    <w:rsid w:val="006F2068"/>
    <w:rsid w:val="006F242E"/>
    <w:rsid w:val="006F5447"/>
    <w:rsid w:val="006F54C1"/>
    <w:rsid w:val="006F6716"/>
    <w:rsid w:val="007039BD"/>
    <w:rsid w:val="00703F1E"/>
    <w:rsid w:val="00704DF6"/>
    <w:rsid w:val="00704E9A"/>
    <w:rsid w:val="0070651C"/>
    <w:rsid w:val="00707AEE"/>
    <w:rsid w:val="00711110"/>
    <w:rsid w:val="00711FA4"/>
    <w:rsid w:val="007125EB"/>
    <w:rsid w:val="007132A3"/>
    <w:rsid w:val="00714542"/>
    <w:rsid w:val="00715984"/>
    <w:rsid w:val="00716421"/>
    <w:rsid w:val="007204E4"/>
    <w:rsid w:val="00722816"/>
    <w:rsid w:val="00722867"/>
    <w:rsid w:val="0072330E"/>
    <w:rsid w:val="00724EFB"/>
    <w:rsid w:val="0073088C"/>
    <w:rsid w:val="0073136F"/>
    <w:rsid w:val="00734549"/>
    <w:rsid w:val="007419C3"/>
    <w:rsid w:val="00741B1C"/>
    <w:rsid w:val="00742815"/>
    <w:rsid w:val="007467A7"/>
    <w:rsid w:val="007469DD"/>
    <w:rsid w:val="0074741B"/>
    <w:rsid w:val="0074759E"/>
    <w:rsid w:val="007478EA"/>
    <w:rsid w:val="00751E97"/>
    <w:rsid w:val="0075415C"/>
    <w:rsid w:val="00754DEA"/>
    <w:rsid w:val="00754E8C"/>
    <w:rsid w:val="00757F89"/>
    <w:rsid w:val="007605B5"/>
    <w:rsid w:val="00761433"/>
    <w:rsid w:val="00761947"/>
    <w:rsid w:val="007623AD"/>
    <w:rsid w:val="00762EF4"/>
    <w:rsid w:val="00763502"/>
    <w:rsid w:val="007639C5"/>
    <w:rsid w:val="00764A40"/>
    <w:rsid w:val="0076694B"/>
    <w:rsid w:val="007671B9"/>
    <w:rsid w:val="00767A29"/>
    <w:rsid w:val="00770200"/>
    <w:rsid w:val="00770879"/>
    <w:rsid w:val="00772D51"/>
    <w:rsid w:val="00773F8A"/>
    <w:rsid w:val="007748BE"/>
    <w:rsid w:val="00774E4C"/>
    <w:rsid w:val="00775D7D"/>
    <w:rsid w:val="00776065"/>
    <w:rsid w:val="00781BB5"/>
    <w:rsid w:val="00783AED"/>
    <w:rsid w:val="00786C02"/>
    <w:rsid w:val="00786C1B"/>
    <w:rsid w:val="007913AB"/>
    <w:rsid w:val="007914DA"/>
    <w:rsid w:val="007914F7"/>
    <w:rsid w:val="0079206C"/>
    <w:rsid w:val="00795630"/>
    <w:rsid w:val="00795B6F"/>
    <w:rsid w:val="00797B91"/>
    <w:rsid w:val="00797C48"/>
    <w:rsid w:val="007A1D35"/>
    <w:rsid w:val="007A34BC"/>
    <w:rsid w:val="007A56D4"/>
    <w:rsid w:val="007A5791"/>
    <w:rsid w:val="007A64F0"/>
    <w:rsid w:val="007B1625"/>
    <w:rsid w:val="007B4284"/>
    <w:rsid w:val="007B6606"/>
    <w:rsid w:val="007B706E"/>
    <w:rsid w:val="007B71EB"/>
    <w:rsid w:val="007C2C9D"/>
    <w:rsid w:val="007C4F7D"/>
    <w:rsid w:val="007C5D9C"/>
    <w:rsid w:val="007C6205"/>
    <w:rsid w:val="007C650E"/>
    <w:rsid w:val="007C686A"/>
    <w:rsid w:val="007C728E"/>
    <w:rsid w:val="007C7639"/>
    <w:rsid w:val="007C7D69"/>
    <w:rsid w:val="007D0084"/>
    <w:rsid w:val="007D2C53"/>
    <w:rsid w:val="007D3D60"/>
    <w:rsid w:val="007D533B"/>
    <w:rsid w:val="007D67C2"/>
    <w:rsid w:val="007E1980"/>
    <w:rsid w:val="007E4B76"/>
    <w:rsid w:val="007E5EA8"/>
    <w:rsid w:val="007F0B66"/>
    <w:rsid w:val="007F0CF1"/>
    <w:rsid w:val="007F12A5"/>
    <w:rsid w:val="007F15BA"/>
    <w:rsid w:val="007F1AC0"/>
    <w:rsid w:val="007F29AB"/>
    <w:rsid w:val="007F406E"/>
    <w:rsid w:val="007F4CF1"/>
    <w:rsid w:val="007F6105"/>
    <w:rsid w:val="007F758D"/>
    <w:rsid w:val="007F79B9"/>
    <w:rsid w:val="007F7D52"/>
    <w:rsid w:val="00805596"/>
    <w:rsid w:val="0080654C"/>
    <w:rsid w:val="008071C6"/>
    <w:rsid w:val="0080755E"/>
    <w:rsid w:val="00811066"/>
    <w:rsid w:val="00811863"/>
    <w:rsid w:val="0081434B"/>
    <w:rsid w:val="008164E9"/>
    <w:rsid w:val="00817784"/>
    <w:rsid w:val="00817A00"/>
    <w:rsid w:val="00817B6F"/>
    <w:rsid w:val="008207CD"/>
    <w:rsid w:val="008208DA"/>
    <w:rsid w:val="00821BBC"/>
    <w:rsid w:val="00823513"/>
    <w:rsid w:val="008257FB"/>
    <w:rsid w:val="008269BB"/>
    <w:rsid w:val="00826DCA"/>
    <w:rsid w:val="0083043E"/>
    <w:rsid w:val="008319BE"/>
    <w:rsid w:val="00835DB3"/>
    <w:rsid w:val="0083617B"/>
    <w:rsid w:val="008371BD"/>
    <w:rsid w:val="0084274E"/>
    <w:rsid w:val="008447BD"/>
    <w:rsid w:val="00845C0F"/>
    <w:rsid w:val="00847339"/>
    <w:rsid w:val="008504A8"/>
    <w:rsid w:val="008527E2"/>
    <w:rsid w:val="0085282E"/>
    <w:rsid w:val="00854937"/>
    <w:rsid w:val="00854938"/>
    <w:rsid w:val="00856C46"/>
    <w:rsid w:val="00857E79"/>
    <w:rsid w:val="008610B2"/>
    <w:rsid w:val="008663DD"/>
    <w:rsid w:val="00866E59"/>
    <w:rsid w:val="00867089"/>
    <w:rsid w:val="0087198C"/>
    <w:rsid w:val="008721BB"/>
    <w:rsid w:val="00872C1F"/>
    <w:rsid w:val="00873B42"/>
    <w:rsid w:val="00875585"/>
    <w:rsid w:val="00875F43"/>
    <w:rsid w:val="00877B4C"/>
    <w:rsid w:val="008803E8"/>
    <w:rsid w:val="0088077A"/>
    <w:rsid w:val="00881824"/>
    <w:rsid w:val="00881E3C"/>
    <w:rsid w:val="00883043"/>
    <w:rsid w:val="008856D8"/>
    <w:rsid w:val="008865C5"/>
    <w:rsid w:val="00890B69"/>
    <w:rsid w:val="00891AE2"/>
    <w:rsid w:val="00892E82"/>
    <w:rsid w:val="008A04CF"/>
    <w:rsid w:val="008A358C"/>
    <w:rsid w:val="008A5782"/>
    <w:rsid w:val="008A5A2F"/>
    <w:rsid w:val="008A738C"/>
    <w:rsid w:val="008A7838"/>
    <w:rsid w:val="008B09BE"/>
    <w:rsid w:val="008B2FC8"/>
    <w:rsid w:val="008B5B5C"/>
    <w:rsid w:val="008B7D26"/>
    <w:rsid w:val="008C1A5F"/>
    <w:rsid w:val="008C1B58"/>
    <w:rsid w:val="008C229A"/>
    <w:rsid w:val="008C2AC0"/>
    <w:rsid w:val="008C39AE"/>
    <w:rsid w:val="008C50C3"/>
    <w:rsid w:val="008C590D"/>
    <w:rsid w:val="008C5932"/>
    <w:rsid w:val="008C767B"/>
    <w:rsid w:val="008D0F38"/>
    <w:rsid w:val="008D1141"/>
    <w:rsid w:val="008D22DC"/>
    <w:rsid w:val="008D285E"/>
    <w:rsid w:val="008D348B"/>
    <w:rsid w:val="008D3960"/>
    <w:rsid w:val="008D3B6B"/>
    <w:rsid w:val="008D4279"/>
    <w:rsid w:val="008D616A"/>
    <w:rsid w:val="008D718C"/>
    <w:rsid w:val="008E031B"/>
    <w:rsid w:val="008E0E5F"/>
    <w:rsid w:val="008E1E43"/>
    <w:rsid w:val="008E2EFE"/>
    <w:rsid w:val="008E3B0D"/>
    <w:rsid w:val="008E6B8F"/>
    <w:rsid w:val="008E6D8E"/>
    <w:rsid w:val="008E7029"/>
    <w:rsid w:val="008E7EF6"/>
    <w:rsid w:val="008F10FC"/>
    <w:rsid w:val="008F1908"/>
    <w:rsid w:val="008F1F98"/>
    <w:rsid w:val="008F6758"/>
    <w:rsid w:val="008F77E8"/>
    <w:rsid w:val="008F7999"/>
    <w:rsid w:val="00900A71"/>
    <w:rsid w:val="00902A91"/>
    <w:rsid w:val="00903201"/>
    <w:rsid w:val="009040DD"/>
    <w:rsid w:val="00905429"/>
    <w:rsid w:val="00905B47"/>
    <w:rsid w:val="0091331C"/>
    <w:rsid w:val="0091556B"/>
    <w:rsid w:val="009164C9"/>
    <w:rsid w:val="00917760"/>
    <w:rsid w:val="00920155"/>
    <w:rsid w:val="00920BE3"/>
    <w:rsid w:val="00921560"/>
    <w:rsid w:val="0092778D"/>
    <w:rsid w:val="009277D5"/>
    <w:rsid w:val="009279DE"/>
    <w:rsid w:val="00930116"/>
    <w:rsid w:val="009317AF"/>
    <w:rsid w:val="00931A8B"/>
    <w:rsid w:val="009347AA"/>
    <w:rsid w:val="00935AF2"/>
    <w:rsid w:val="00936365"/>
    <w:rsid w:val="009364A9"/>
    <w:rsid w:val="00937F3E"/>
    <w:rsid w:val="00940ABE"/>
    <w:rsid w:val="00941D01"/>
    <w:rsid w:val="0094212C"/>
    <w:rsid w:val="00945450"/>
    <w:rsid w:val="0095196C"/>
    <w:rsid w:val="00952DB9"/>
    <w:rsid w:val="00954689"/>
    <w:rsid w:val="00954A79"/>
    <w:rsid w:val="00954E8A"/>
    <w:rsid w:val="00954FC0"/>
    <w:rsid w:val="009551C1"/>
    <w:rsid w:val="00957A43"/>
    <w:rsid w:val="00957AF7"/>
    <w:rsid w:val="009617C9"/>
    <w:rsid w:val="00961C93"/>
    <w:rsid w:val="00962C22"/>
    <w:rsid w:val="0096373B"/>
    <w:rsid w:val="00965324"/>
    <w:rsid w:val="009657CA"/>
    <w:rsid w:val="00965B5F"/>
    <w:rsid w:val="0097091E"/>
    <w:rsid w:val="009738C4"/>
    <w:rsid w:val="009760D3"/>
    <w:rsid w:val="00977132"/>
    <w:rsid w:val="009813C5"/>
    <w:rsid w:val="00981A4B"/>
    <w:rsid w:val="00982501"/>
    <w:rsid w:val="00983ABD"/>
    <w:rsid w:val="00985509"/>
    <w:rsid w:val="00985C0F"/>
    <w:rsid w:val="00986594"/>
    <w:rsid w:val="009877D3"/>
    <w:rsid w:val="009906D0"/>
    <w:rsid w:val="00991EAA"/>
    <w:rsid w:val="00993CFB"/>
    <w:rsid w:val="00994E8F"/>
    <w:rsid w:val="009951DC"/>
    <w:rsid w:val="009959BB"/>
    <w:rsid w:val="00997158"/>
    <w:rsid w:val="009A3764"/>
    <w:rsid w:val="009A3A7C"/>
    <w:rsid w:val="009A64F1"/>
    <w:rsid w:val="009B0146"/>
    <w:rsid w:val="009B1E22"/>
    <w:rsid w:val="009B2ADB"/>
    <w:rsid w:val="009B5233"/>
    <w:rsid w:val="009B603A"/>
    <w:rsid w:val="009B6FFD"/>
    <w:rsid w:val="009B7810"/>
    <w:rsid w:val="009C0E93"/>
    <w:rsid w:val="009C23E6"/>
    <w:rsid w:val="009C2D0E"/>
    <w:rsid w:val="009C3DAC"/>
    <w:rsid w:val="009C42E0"/>
    <w:rsid w:val="009C4601"/>
    <w:rsid w:val="009C4CFA"/>
    <w:rsid w:val="009C772A"/>
    <w:rsid w:val="009D3C81"/>
    <w:rsid w:val="009D4DD5"/>
    <w:rsid w:val="009D5362"/>
    <w:rsid w:val="009D57F6"/>
    <w:rsid w:val="009E0C23"/>
    <w:rsid w:val="009E0DD1"/>
    <w:rsid w:val="009E1415"/>
    <w:rsid w:val="009E159F"/>
    <w:rsid w:val="009E2A88"/>
    <w:rsid w:val="009E2F53"/>
    <w:rsid w:val="009E3852"/>
    <w:rsid w:val="009E5567"/>
    <w:rsid w:val="009E60D9"/>
    <w:rsid w:val="009E6116"/>
    <w:rsid w:val="009F03D3"/>
    <w:rsid w:val="009F2D89"/>
    <w:rsid w:val="009F3B3A"/>
    <w:rsid w:val="009F533A"/>
    <w:rsid w:val="009F5410"/>
    <w:rsid w:val="009F5E9F"/>
    <w:rsid w:val="009F6237"/>
    <w:rsid w:val="009F6482"/>
    <w:rsid w:val="009F6B02"/>
    <w:rsid w:val="00A0290E"/>
    <w:rsid w:val="00A02E43"/>
    <w:rsid w:val="00A05255"/>
    <w:rsid w:val="00A065F9"/>
    <w:rsid w:val="00A07F34"/>
    <w:rsid w:val="00A104ED"/>
    <w:rsid w:val="00A107A6"/>
    <w:rsid w:val="00A10F44"/>
    <w:rsid w:val="00A12F97"/>
    <w:rsid w:val="00A13678"/>
    <w:rsid w:val="00A13856"/>
    <w:rsid w:val="00A14F6C"/>
    <w:rsid w:val="00A15FDD"/>
    <w:rsid w:val="00A166ED"/>
    <w:rsid w:val="00A214C5"/>
    <w:rsid w:val="00A22154"/>
    <w:rsid w:val="00A23A7C"/>
    <w:rsid w:val="00A24A09"/>
    <w:rsid w:val="00A25843"/>
    <w:rsid w:val="00A25C38"/>
    <w:rsid w:val="00A306CE"/>
    <w:rsid w:val="00A30B8B"/>
    <w:rsid w:val="00A315E1"/>
    <w:rsid w:val="00A31C89"/>
    <w:rsid w:val="00A342EE"/>
    <w:rsid w:val="00A34FB3"/>
    <w:rsid w:val="00A36BBE"/>
    <w:rsid w:val="00A37451"/>
    <w:rsid w:val="00A40793"/>
    <w:rsid w:val="00A4178A"/>
    <w:rsid w:val="00A41DE7"/>
    <w:rsid w:val="00A4307A"/>
    <w:rsid w:val="00A443AE"/>
    <w:rsid w:val="00A46790"/>
    <w:rsid w:val="00A47EBB"/>
    <w:rsid w:val="00A5187F"/>
    <w:rsid w:val="00A51CDD"/>
    <w:rsid w:val="00A532CE"/>
    <w:rsid w:val="00A53A11"/>
    <w:rsid w:val="00A5761C"/>
    <w:rsid w:val="00A60FB5"/>
    <w:rsid w:val="00A623A1"/>
    <w:rsid w:val="00A64602"/>
    <w:rsid w:val="00A664A1"/>
    <w:rsid w:val="00A6730D"/>
    <w:rsid w:val="00A7053B"/>
    <w:rsid w:val="00A71625"/>
    <w:rsid w:val="00A71B9B"/>
    <w:rsid w:val="00A741CC"/>
    <w:rsid w:val="00A74276"/>
    <w:rsid w:val="00A74B63"/>
    <w:rsid w:val="00A74E43"/>
    <w:rsid w:val="00A751C7"/>
    <w:rsid w:val="00A758CD"/>
    <w:rsid w:val="00A765E8"/>
    <w:rsid w:val="00A768D8"/>
    <w:rsid w:val="00A76F0C"/>
    <w:rsid w:val="00A811BF"/>
    <w:rsid w:val="00A8203A"/>
    <w:rsid w:val="00A82404"/>
    <w:rsid w:val="00A8526D"/>
    <w:rsid w:val="00A853EE"/>
    <w:rsid w:val="00A86EFA"/>
    <w:rsid w:val="00A87123"/>
    <w:rsid w:val="00A87844"/>
    <w:rsid w:val="00A87FB6"/>
    <w:rsid w:val="00A90C61"/>
    <w:rsid w:val="00A9346F"/>
    <w:rsid w:val="00AA0100"/>
    <w:rsid w:val="00AA010A"/>
    <w:rsid w:val="00AA038C"/>
    <w:rsid w:val="00AA0C79"/>
    <w:rsid w:val="00AA1A1E"/>
    <w:rsid w:val="00AA3686"/>
    <w:rsid w:val="00AA617A"/>
    <w:rsid w:val="00AA7A09"/>
    <w:rsid w:val="00AB3B1B"/>
    <w:rsid w:val="00AB3B50"/>
    <w:rsid w:val="00AB3DC9"/>
    <w:rsid w:val="00AB4769"/>
    <w:rsid w:val="00AB7963"/>
    <w:rsid w:val="00AB7F7D"/>
    <w:rsid w:val="00AC05B1"/>
    <w:rsid w:val="00AC1F7B"/>
    <w:rsid w:val="00AC2392"/>
    <w:rsid w:val="00AC2A14"/>
    <w:rsid w:val="00AC5067"/>
    <w:rsid w:val="00AC5075"/>
    <w:rsid w:val="00AC53D0"/>
    <w:rsid w:val="00AD02E3"/>
    <w:rsid w:val="00AD3263"/>
    <w:rsid w:val="00AD32A9"/>
    <w:rsid w:val="00AD356C"/>
    <w:rsid w:val="00AD3623"/>
    <w:rsid w:val="00AD42A6"/>
    <w:rsid w:val="00AD6794"/>
    <w:rsid w:val="00AD7746"/>
    <w:rsid w:val="00AD7DE5"/>
    <w:rsid w:val="00AE098C"/>
    <w:rsid w:val="00AE09C8"/>
    <w:rsid w:val="00AE0AC6"/>
    <w:rsid w:val="00AE10CB"/>
    <w:rsid w:val="00AE2914"/>
    <w:rsid w:val="00AE3353"/>
    <w:rsid w:val="00AE5C86"/>
    <w:rsid w:val="00AE611E"/>
    <w:rsid w:val="00AE6D15"/>
    <w:rsid w:val="00AE6F76"/>
    <w:rsid w:val="00AF18CA"/>
    <w:rsid w:val="00AF2932"/>
    <w:rsid w:val="00AF375B"/>
    <w:rsid w:val="00AF47B6"/>
    <w:rsid w:val="00AF7178"/>
    <w:rsid w:val="00B03716"/>
    <w:rsid w:val="00B04182"/>
    <w:rsid w:val="00B07AE3"/>
    <w:rsid w:val="00B11430"/>
    <w:rsid w:val="00B118AB"/>
    <w:rsid w:val="00B11921"/>
    <w:rsid w:val="00B11DE9"/>
    <w:rsid w:val="00B122B9"/>
    <w:rsid w:val="00B13104"/>
    <w:rsid w:val="00B141A3"/>
    <w:rsid w:val="00B14728"/>
    <w:rsid w:val="00B14A21"/>
    <w:rsid w:val="00B15228"/>
    <w:rsid w:val="00B15A90"/>
    <w:rsid w:val="00B15A9E"/>
    <w:rsid w:val="00B20029"/>
    <w:rsid w:val="00B201BB"/>
    <w:rsid w:val="00B23575"/>
    <w:rsid w:val="00B26B7F"/>
    <w:rsid w:val="00B33CA4"/>
    <w:rsid w:val="00B353EB"/>
    <w:rsid w:val="00B3566D"/>
    <w:rsid w:val="00B36245"/>
    <w:rsid w:val="00B36ABE"/>
    <w:rsid w:val="00B3760E"/>
    <w:rsid w:val="00B37DC1"/>
    <w:rsid w:val="00B40869"/>
    <w:rsid w:val="00B41324"/>
    <w:rsid w:val="00B41C5C"/>
    <w:rsid w:val="00B4345C"/>
    <w:rsid w:val="00B439C4"/>
    <w:rsid w:val="00B4535E"/>
    <w:rsid w:val="00B45411"/>
    <w:rsid w:val="00B46126"/>
    <w:rsid w:val="00B47DF3"/>
    <w:rsid w:val="00B50167"/>
    <w:rsid w:val="00B52A8C"/>
    <w:rsid w:val="00B53B97"/>
    <w:rsid w:val="00B54E44"/>
    <w:rsid w:val="00B5567E"/>
    <w:rsid w:val="00B55C61"/>
    <w:rsid w:val="00B56CF5"/>
    <w:rsid w:val="00B57AA5"/>
    <w:rsid w:val="00B57F11"/>
    <w:rsid w:val="00B605D4"/>
    <w:rsid w:val="00B60C79"/>
    <w:rsid w:val="00B61998"/>
    <w:rsid w:val="00B62F38"/>
    <w:rsid w:val="00B636A8"/>
    <w:rsid w:val="00B63854"/>
    <w:rsid w:val="00B650B7"/>
    <w:rsid w:val="00B65CBA"/>
    <w:rsid w:val="00B665C6"/>
    <w:rsid w:val="00B70EC6"/>
    <w:rsid w:val="00B710A2"/>
    <w:rsid w:val="00B7135D"/>
    <w:rsid w:val="00B72473"/>
    <w:rsid w:val="00B72485"/>
    <w:rsid w:val="00B734F3"/>
    <w:rsid w:val="00B77AA9"/>
    <w:rsid w:val="00B80292"/>
    <w:rsid w:val="00B805AF"/>
    <w:rsid w:val="00B869EC"/>
    <w:rsid w:val="00B878F3"/>
    <w:rsid w:val="00B91A3D"/>
    <w:rsid w:val="00B9397A"/>
    <w:rsid w:val="00B9495E"/>
    <w:rsid w:val="00B95A3A"/>
    <w:rsid w:val="00B95EFA"/>
    <w:rsid w:val="00B9633D"/>
    <w:rsid w:val="00B966CC"/>
    <w:rsid w:val="00B96D9D"/>
    <w:rsid w:val="00BA0EDB"/>
    <w:rsid w:val="00BA280C"/>
    <w:rsid w:val="00BA2EBE"/>
    <w:rsid w:val="00BA31A2"/>
    <w:rsid w:val="00BA3580"/>
    <w:rsid w:val="00BA3584"/>
    <w:rsid w:val="00BA56AC"/>
    <w:rsid w:val="00BA58A3"/>
    <w:rsid w:val="00BA6F4E"/>
    <w:rsid w:val="00BA7FB6"/>
    <w:rsid w:val="00BA7FD9"/>
    <w:rsid w:val="00BB0F28"/>
    <w:rsid w:val="00BB1B58"/>
    <w:rsid w:val="00BB458A"/>
    <w:rsid w:val="00BB4746"/>
    <w:rsid w:val="00BB4BA8"/>
    <w:rsid w:val="00BB76FC"/>
    <w:rsid w:val="00BC0EB4"/>
    <w:rsid w:val="00BC5194"/>
    <w:rsid w:val="00BC5D95"/>
    <w:rsid w:val="00BC7356"/>
    <w:rsid w:val="00BC7D22"/>
    <w:rsid w:val="00BD00D3"/>
    <w:rsid w:val="00BD01A7"/>
    <w:rsid w:val="00BD02D3"/>
    <w:rsid w:val="00BD06CA"/>
    <w:rsid w:val="00BD1659"/>
    <w:rsid w:val="00BD31AB"/>
    <w:rsid w:val="00BD3AA9"/>
    <w:rsid w:val="00BD4A18"/>
    <w:rsid w:val="00BD532A"/>
    <w:rsid w:val="00BD694A"/>
    <w:rsid w:val="00BD6DB2"/>
    <w:rsid w:val="00BD7C84"/>
    <w:rsid w:val="00BD7F9F"/>
    <w:rsid w:val="00BE10FC"/>
    <w:rsid w:val="00BE114B"/>
    <w:rsid w:val="00BE11CF"/>
    <w:rsid w:val="00BE21AB"/>
    <w:rsid w:val="00BE2A1A"/>
    <w:rsid w:val="00BE55CB"/>
    <w:rsid w:val="00BE56DD"/>
    <w:rsid w:val="00BE74AB"/>
    <w:rsid w:val="00BF617A"/>
    <w:rsid w:val="00BF74FC"/>
    <w:rsid w:val="00C01795"/>
    <w:rsid w:val="00C01DF9"/>
    <w:rsid w:val="00C01EB3"/>
    <w:rsid w:val="00C0379D"/>
    <w:rsid w:val="00C03931"/>
    <w:rsid w:val="00C05FE3"/>
    <w:rsid w:val="00C0723D"/>
    <w:rsid w:val="00C07C97"/>
    <w:rsid w:val="00C07F5E"/>
    <w:rsid w:val="00C10DE2"/>
    <w:rsid w:val="00C1178D"/>
    <w:rsid w:val="00C11CD8"/>
    <w:rsid w:val="00C12D8F"/>
    <w:rsid w:val="00C13EE6"/>
    <w:rsid w:val="00C159D3"/>
    <w:rsid w:val="00C16556"/>
    <w:rsid w:val="00C174C9"/>
    <w:rsid w:val="00C20235"/>
    <w:rsid w:val="00C20847"/>
    <w:rsid w:val="00C2136D"/>
    <w:rsid w:val="00C214EE"/>
    <w:rsid w:val="00C22716"/>
    <w:rsid w:val="00C2314B"/>
    <w:rsid w:val="00C24971"/>
    <w:rsid w:val="00C26BE5"/>
    <w:rsid w:val="00C26E4D"/>
    <w:rsid w:val="00C275A8"/>
    <w:rsid w:val="00C27709"/>
    <w:rsid w:val="00C27909"/>
    <w:rsid w:val="00C27B03"/>
    <w:rsid w:val="00C314E1"/>
    <w:rsid w:val="00C3230A"/>
    <w:rsid w:val="00C32D42"/>
    <w:rsid w:val="00C34397"/>
    <w:rsid w:val="00C34F28"/>
    <w:rsid w:val="00C34F4C"/>
    <w:rsid w:val="00C35ABD"/>
    <w:rsid w:val="00C361A6"/>
    <w:rsid w:val="00C3677F"/>
    <w:rsid w:val="00C4095D"/>
    <w:rsid w:val="00C40DF9"/>
    <w:rsid w:val="00C40F9F"/>
    <w:rsid w:val="00C41516"/>
    <w:rsid w:val="00C42C1C"/>
    <w:rsid w:val="00C42C55"/>
    <w:rsid w:val="00C504A9"/>
    <w:rsid w:val="00C5125F"/>
    <w:rsid w:val="00C52388"/>
    <w:rsid w:val="00C54C37"/>
    <w:rsid w:val="00C5506A"/>
    <w:rsid w:val="00C55302"/>
    <w:rsid w:val="00C564CB"/>
    <w:rsid w:val="00C5684D"/>
    <w:rsid w:val="00C601D2"/>
    <w:rsid w:val="00C61963"/>
    <w:rsid w:val="00C63BD2"/>
    <w:rsid w:val="00C63CDA"/>
    <w:rsid w:val="00C64AD0"/>
    <w:rsid w:val="00C657AB"/>
    <w:rsid w:val="00C65BCC"/>
    <w:rsid w:val="00C66970"/>
    <w:rsid w:val="00C70683"/>
    <w:rsid w:val="00C73105"/>
    <w:rsid w:val="00C73324"/>
    <w:rsid w:val="00C737AC"/>
    <w:rsid w:val="00C7686F"/>
    <w:rsid w:val="00C7688D"/>
    <w:rsid w:val="00C76C33"/>
    <w:rsid w:val="00C774F9"/>
    <w:rsid w:val="00C77CD8"/>
    <w:rsid w:val="00C81690"/>
    <w:rsid w:val="00C81BE3"/>
    <w:rsid w:val="00C852D1"/>
    <w:rsid w:val="00C8691C"/>
    <w:rsid w:val="00C90721"/>
    <w:rsid w:val="00C9150D"/>
    <w:rsid w:val="00C91BC4"/>
    <w:rsid w:val="00C929E9"/>
    <w:rsid w:val="00C93A2B"/>
    <w:rsid w:val="00C95855"/>
    <w:rsid w:val="00C95905"/>
    <w:rsid w:val="00CA168A"/>
    <w:rsid w:val="00CA2160"/>
    <w:rsid w:val="00CA357E"/>
    <w:rsid w:val="00CA44F9"/>
    <w:rsid w:val="00CA4A69"/>
    <w:rsid w:val="00CA552B"/>
    <w:rsid w:val="00CA5D95"/>
    <w:rsid w:val="00CB04C5"/>
    <w:rsid w:val="00CB0FA5"/>
    <w:rsid w:val="00CB15B9"/>
    <w:rsid w:val="00CB3477"/>
    <w:rsid w:val="00CB4102"/>
    <w:rsid w:val="00CB5BC4"/>
    <w:rsid w:val="00CB6E32"/>
    <w:rsid w:val="00CC28AB"/>
    <w:rsid w:val="00CC3AB6"/>
    <w:rsid w:val="00CC3E0C"/>
    <w:rsid w:val="00CC49D5"/>
    <w:rsid w:val="00CC58D3"/>
    <w:rsid w:val="00CC5BCF"/>
    <w:rsid w:val="00CC717C"/>
    <w:rsid w:val="00CC784D"/>
    <w:rsid w:val="00CD0250"/>
    <w:rsid w:val="00CD0ACD"/>
    <w:rsid w:val="00CD1181"/>
    <w:rsid w:val="00CD3E4E"/>
    <w:rsid w:val="00CD6A55"/>
    <w:rsid w:val="00CD6DAF"/>
    <w:rsid w:val="00CD7CA6"/>
    <w:rsid w:val="00CE4B9E"/>
    <w:rsid w:val="00CE5B19"/>
    <w:rsid w:val="00CE7FF0"/>
    <w:rsid w:val="00CF62B5"/>
    <w:rsid w:val="00CF7B9A"/>
    <w:rsid w:val="00D02C09"/>
    <w:rsid w:val="00D02F35"/>
    <w:rsid w:val="00D030FB"/>
    <w:rsid w:val="00D0337B"/>
    <w:rsid w:val="00D057E5"/>
    <w:rsid w:val="00D05F90"/>
    <w:rsid w:val="00D079B2"/>
    <w:rsid w:val="00D101DC"/>
    <w:rsid w:val="00D10642"/>
    <w:rsid w:val="00D1080C"/>
    <w:rsid w:val="00D1092A"/>
    <w:rsid w:val="00D114E9"/>
    <w:rsid w:val="00D13BC5"/>
    <w:rsid w:val="00D15442"/>
    <w:rsid w:val="00D15F00"/>
    <w:rsid w:val="00D164EB"/>
    <w:rsid w:val="00D1665D"/>
    <w:rsid w:val="00D172D1"/>
    <w:rsid w:val="00D219C3"/>
    <w:rsid w:val="00D223DC"/>
    <w:rsid w:val="00D22608"/>
    <w:rsid w:val="00D239AB"/>
    <w:rsid w:val="00D23C38"/>
    <w:rsid w:val="00D25052"/>
    <w:rsid w:val="00D2507A"/>
    <w:rsid w:val="00D25852"/>
    <w:rsid w:val="00D26323"/>
    <w:rsid w:val="00D308AD"/>
    <w:rsid w:val="00D312E0"/>
    <w:rsid w:val="00D32793"/>
    <w:rsid w:val="00D35795"/>
    <w:rsid w:val="00D36C53"/>
    <w:rsid w:val="00D37568"/>
    <w:rsid w:val="00D42578"/>
    <w:rsid w:val="00D4267F"/>
    <w:rsid w:val="00D429C6"/>
    <w:rsid w:val="00D436E6"/>
    <w:rsid w:val="00D47748"/>
    <w:rsid w:val="00D50517"/>
    <w:rsid w:val="00D52500"/>
    <w:rsid w:val="00D54CC3"/>
    <w:rsid w:val="00D55C1F"/>
    <w:rsid w:val="00D60352"/>
    <w:rsid w:val="00D6041A"/>
    <w:rsid w:val="00D633EB"/>
    <w:rsid w:val="00D66E19"/>
    <w:rsid w:val="00D6744B"/>
    <w:rsid w:val="00D71C76"/>
    <w:rsid w:val="00D71DB4"/>
    <w:rsid w:val="00D72652"/>
    <w:rsid w:val="00D751DF"/>
    <w:rsid w:val="00D76882"/>
    <w:rsid w:val="00D810E0"/>
    <w:rsid w:val="00D81D1F"/>
    <w:rsid w:val="00D82FF7"/>
    <w:rsid w:val="00D8404A"/>
    <w:rsid w:val="00D847FE"/>
    <w:rsid w:val="00D84977"/>
    <w:rsid w:val="00D85BC8"/>
    <w:rsid w:val="00D866F1"/>
    <w:rsid w:val="00D91978"/>
    <w:rsid w:val="00D91B56"/>
    <w:rsid w:val="00D96304"/>
    <w:rsid w:val="00D964EA"/>
    <w:rsid w:val="00D966D0"/>
    <w:rsid w:val="00DA0C59"/>
    <w:rsid w:val="00DA0F00"/>
    <w:rsid w:val="00DA1A38"/>
    <w:rsid w:val="00DA2CF8"/>
    <w:rsid w:val="00DA3011"/>
    <w:rsid w:val="00DA3991"/>
    <w:rsid w:val="00DA5A45"/>
    <w:rsid w:val="00DA5AC4"/>
    <w:rsid w:val="00DA72F1"/>
    <w:rsid w:val="00DB5365"/>
    <w:rsid w:val="00DB5D66"/>
    <w:rsid w:val="00DB7CA3"/>
    <w:rsid w:val="00DB7E6C"/>
    <w:rsid w:val="00DC663D"/>
    <w:rsid w:val="00DC68ED"/>
    <w:rsid w:val="00DD0A16"/>
    <w:rsid w:val="00DD2D64"/>
    <w:rsid w:val="00DD396D"/>
    <w:rsid w:val="00DD3FD3"/>
    <w:rsid w:val="00DD505A"/>
    <w:rsid w:val="00DD50F5"/>
    <w:rsid w:val="00DD5A29"/>
    <w:rsid w:val="00DD5D9D"/>
    <w:rsid w:val="00DE35CB"/>
    <w:rsid w:val="00DE5B5B"/>
    <w:rsid w:val="00DE6177"/>
    <w:rsid w:val="00DE703B"/>
    <w:rsid w:val="00DE7A63"/>
    <w:rsid w:val="00DF142B"/>
    <w:rsid w:val="00DF15F3"/>
    <w:rsid w:val="00DF21E9"/>
    <w:rsid w:val="00DF2BBE"/>
    <w:rsid w:val="00DF30D6"/>
    <w:rsid w:val="00DF34A7"/>
    <w:rsid w:val="00DF4600"/>
    <w:rsid w:val="00DF4E2C"/>
    <w:rsid w:val="00DF4FA6"/>
    <w:rsid w:val="00DF5B03"/>
    <w:rsid w:val="00DF6077"/>
    <w:rsid w:val="00DF7FFB"/>
    <w:rsid w:val="00E003E2"/>
    <w:rsid w:val="00E0072F"/>
    <w:rsid w:val="00E00C0E"/>
    <w:rsid w:val="00E00F14"/>
    <w:rsid w:val="00E039D4"/>
    <w:rsid w:val="00E05F17"/>
    <w:rsid w:val="00E06386"/>
    <w:rsid w:val="00E104AA"/>
    <w:rsid w:val="00E11746"/>
    <w:rsid w:val="00E12B8F"/>
    <w:rsid w:val="00E13D26"/>
    <w:rsid w:val="00E14294"/>
    <w:rsid w:val="00E14509"/>
    <w:rsid w:val="00E15AAF"/>
    <w:rsid w:val="00E15D07"/>
    <w:rsid w:val="00E1675F"/>
    <w:rsid w:val="00E227AB"/>
    <w:rsid w:val="00E237A2"/>
    <w:rsid w:val="00E24EB4"/>
    <w:rsid w:val="00E25CE5"/>
    <w:rsid w:val="00E25FC4"/>
    <w:rsid w:val="00E26B36"/>
    <w:rsid w:val="00E27E7E"/>
    <w:rsid w:val="00E320ED"/>
    <w:rsid w:val="00E3268B"/>
    <w:rsid w:val="00E326BA"/>
    <w:rsid w:val="00E33AFB"/>
    <w:rsid w:val="00E33DC1"/>
    <w:rsid w:val="00E34218"/>
    <w:rsid w:val="00E36C8B"/>
    <w:rsid w:val="00E42F87"/>
    <w:rsid w:val="00E44A58"/>
    <w:rsid w:val="00E44CDE"/>
    <w:rsid w:val="00E46282"/>
    <w:rsid w:val="00E46E88"/>
    <w:rsid w:val="00E50AB6"/>
    <w:rsid w:val="00E51351"/>
    <w:rsid w:val="00E5216E"/>
    <w:rsid w:val="00E54364"/>
    <w:rsid w:val="00E565E3"/>
    <w:rsid w:val="00E631F8"/>
    <w:rsid w:val="00E65161"/>
    <w:rsid w:val="00E65639"/>
    <w:rsid w:val="00E67E8B"/>
    <w:rsid w:val="00E7048F"/>
    <w:rsid w:val="00E71B32"/>
    <w:rsid w:val="00E72144"/>
    <w:rsid w:val="00E72BD5"/>
    <w:rsid w:val="00E75DAE"/>
    <w:rsid w:val="00E75DFC"/>
    <w:rsid w:val="00E7629C"/>
    <w:rsid w:val="00E765F8"/>
    <w:rsid w:val="00E776D6"/>
    <w:rsid w:val="00E77DA8"/>
    <w:rsid w:val="00E80004"/>
    <w:rsid w:val="00E8018D"/>
    <w:rsid w:val="00E80F50"/>
    <w:rsid w:val="00E817C5"/>
    <w:rsid w:val="00E81E20"/>
    <w:rsid w:val="00E82344"/>
    <w:rsid w:val="00E84C82"/>
    <w:rsid w:val="00E84D64"/>
    <w:rsid w:val="00E857FE"/>
    <w:rsid w:val="00E865B3"/>
    <w:rsid w:val="00E87408"/>
    <w:rsid w:val="00E87C98"/>
    <w:rsid w:val="00E914C4"/>
    <w:rsid w:val="00E934F5"/>
    <w:rsid w:val="00E94FF7"/>
    <w:rsid w:val="00E96961"/>
    <w:rsid w:val="00E96FA7"/>
    <w:rsid w:val="00EA1CC5"/>
    <w:rsid w:val="00EA5C1E"/>
    <w:rsid w:val="00EA72EC"/>
    <w:rsid w:val="00EA7E69"/>
    <w:rsid w:val="00EB11CB"/>
    <w:rsid w:val="00EB125C"/>
    <w:rsid w:val="00EB275A"/>
    <w:rsid w:val="00EB7801"/>
    <w:rsid w:val="00EB786A"/>
    <w:rsid w:val="00EC1578"/>
    <w:rsid w:val="00EC1C72"/>
    <w:rsid w:val="00EC3960"/>
    <w:rsid w:val="00EC3CC9"/>
    <w:rsid w:val="00EC4C78"/>
    <w:rsid w:val="00EC51F5"/>
    <w:rsid w:val="00EC5FCD"/>
    <w:rsid w:val="00EC680A"/>
    <w:rsid w:val="00EC6D7A"/>
    <w:rsid w:val="00ED0BF7"/>
    <w:rsid w:val="00ED4A56"/>
    <w:rsid w:val="00ED7F6C"/>
    <w:rsid w:val="00EE222D"/>
    <w:rsid w:val="00EE2BED"/>
    <w:rsid w:val="00EE374B"/>
    <w:rsid w:val="00EE4A90"/>
    <w:rsid w:val="00EE6FE6"/>
    <w:rsid w:val="00EE7ED8"/>
    <w:rsid w:val="00EF1EC7"/>
    <w:rsid w:val="00EF4639"/>
    <w:rsid w:val="00EF4856"/>
    <w:rsid w:val="00EF5CE9"/>
    <w:rsid w:val="00F01A8F"/>
    <w:rsid w:val="00F01E51"/>
    <w:rsid w:val="00F06070"/>
    <w:rsid w:val="00F06BC4"/>
    <w:rsid w:val="00F07F79"/>
    <w:rsid w:val="00F11BB5"/>
    <w:rsid w:val="00F1417B"/>
    <w:rsid w:val="00F15B72"/>
    <w:rsid w:val="00F16A85"/>
    <w:rsid w:val="00F2011D"/>
    <w:rsid w:val="00F21282"/>
    <w:rsid w:val="00F215CD"/>
    <w:rsid w:val="00F21C9C"/>
    <w:rsid w:val="00F232E8"/>
    <w:rsid w:val="00F234DA"/>
    <w:rsid w:val="00F24469"/>
    <w:rsid w:val="00F25802"/>
    <w:rsid w:val="00F260C8"/>
    <w:rsid w:val="00F27DC5"/>
    <w:rsid w:val="00F30EDC"/>
    <w:rsid w:val="00F33C53"/>
    <w:rsid w:val="00F33F37"/>
    <w:rsid w:val="00F34B99"/>
    <w:rsid w:val="00F3531E"/>
    <w:rsid w:val="00F3543F"/>
    <w:rsid w:val="00F36E19"/>
    <w:rsid w:val="00F36FE8"/>
    <w:rsid w:val="00F37980"/>
    <w:rsid w:val="00F422F0"/>
    <w:rsid w:val="00F4243B"/>
    <w:rsid w:val="00F42BEB"/>
    <w:rsid w:val="00F44C45"/>
    <w:rsid w:val="00F45142"/>
    <w:rsid w:val="00F47B83"/>
    <w:rsid w:val="00F522F2"/>
    <w:rsid w:val="00F52DAB"/>
    <w:rsid w:val="00F543F0"/>
    <w:rsid w:val="00F545DE"/>
    <w:rsid w:val="00F548F4"/>
    <w:rsid w:val="00F55140"/>
    <w:rsid w:val="00F56233"/>
    <w:rsid w:val="00F60F9C"/>
    <w:rsid w:val="00F64B1C"/>
    <w:rsid w:val="00F64CA6"/>
    <w:rsid w:val="00F6514D"/>
    <w:rsid w:val="00F6555C"/>
    <w:rsid w:val="00F656DA"/>
    <w:rsid w:val="00F6636A"/>
    <w:rsid w:val="00F6639B"/>
    <w:rsid w:val="00F67F38"/>
    <w:rsid w:val="00F7468F"/>
    <w:rsid w:val="00F74B11"/>
    <w:rsid w:val="00F74CEB"/>
    <w:rsid w:val="00F76A22"/>
    <w:rsid w:val="00F77C58"/>
    <w:rsid w:val="00F80D6B"/>
    <w:rsid w:val="00F81273"/>
    <w:rsid w:val="00F81D29"/>
    <w:rsid w:val="00F82DDD"/>
    <w:rsid w:val="00F856FF"/>
    <w:rsid w:val="00F91C4D"/>
    <w:rsid w:val="00F92FD9"/>
    <w:rsid w:val="00F933AB"/>
    <w:rsid w:val="00FA0819"/>
    <w:rsid w:val="00FA209B"/>
    <w:rsid w:val="00FA4570"/>
    <w:rsid w:val="00FA5E8A"/>
    <w:rsid w:val="00FA6684"/>
    <w:rsid w:val="00FA731E"/>
    <w:rsid w:val="00FA737A"/>
    <w:rsid w:val="00FA7AC8"/>
    <w:rsid w:val="00FB1B4F"/>
    <w:rsid w:val="00FB1D52"/>
    <w:rsid w:val="00FB26F3"/>
    <w:rsid w:val="00FB2B38"/>
    <w:rsid w:val="00FB3872"/>
    <w:rsid w:val="00FB3F32"/>
    <w:rsid w:val="00FB456D"/>
    <w:rsid w:val="00FB4FF5"/>
    <w:rsid w:val="00FC256D"/>
    <w:rsid w:val="00FC4EDA"/>
    <w:rsid w:val="00FC5156"/>
    <w:rsid w:val="00FC6358"/>
    <w:rsid w:val="00FD0935"/>
    <w:rsid w:val="00FD116E"/>
    <w:rsid w:val="00FD166F"/>
    <w:rsid w:val="00FD2457"/>
    <w:rsid w:val="00FD320D"/>
    <w:rsid w:val="00FD6EAA"/>
    <w:rsid w:val="00FE1EF5"/>
    <w:rsid w:val="00FE2328"/>
    <w:rsid w:val="00FE23DE"/>
    <w:rsid w:val="00FE76FB"/>
    <w:rsid w:val="00FF17E8"/>
    <w:rsid w:val="00FF19E1"/>
    <w:rsid w:val="00FF27B5"/>
    <w:rsid w:val="00FF2FD2"/>
    <w:rsid w:val="00FF36F9"/>
    <w:rsid w:val="00FF3EEA"/>
    <w:rsid w:val="00FF4840"/>
    <w:rsid w:val="00FF50B6"/>
    <w:rsid w:val="00FF58C4"/>
    <w:rsid w:val="00FF7451"/>
    <w:rsid w:val="0124748E"/>
    <w:rsid w:val="01927B81"/>
    <w:rsid w:val="01E32144"/>
    <w:rsid w:val="024E563A"/>
    <w:rsid w:val="04D444DB"/>
    <w:rsid w:val="05DC03D7"/>
    <w:rsid w:val="06BB7349"/>
    <w:rsid w:val="08265E1E"/>
    <w:rsid w:val="08EF7CF4"/>
    <w:rsid w:val="0A064ACC"/>
    <w:rsid w:val="0B27770A"/>
    <w:rsid w:val="0CCB2803"/>
    <w:rsid w:val="0E486ACB"/>
    <w:rsid w:val="10B7369C"/>
    <w:rsid w:val="10C2148D"/>
    <w:rsid w:val="111E0962"/>
    <w:rsid w:val="1166222D"/>
    <w:rsid w:val="12525CAE"/>
    <w:rsid w:val="12544C98"/>
    <w:rsid w:val="13164528"/>
    <w:rsid w:val="15864FCA"/>
    <w:rsid w:val="15BD3AD9"/>
    <w:rsid w:val="15D85A57"/>
    <w:rsid w:val="1730163B"/>
    <w:rsid w:val="1779182C"/>
    <w:rsid w:val="18AF3687"/>
    <w:rsid w:val="19CC1A39"/>
    <w:rsid w:val="1A8A76F9"/>
    <w:rsid w:val="1ABE68A4"/>
    <w:rsid w:val="1AD85294"/>
    <w:rsid w:val="1AF14592"/>
    <w:rsid w:val="1C161B46"/>
    <w:rsid w:val="1C731F58"/>
    <w:rsid w:val="1E1B5935"/>
    <w:rsid w:val="1FA12021"/>
    <w:rsid w:val="1FFD389C"/>
    <w:rsid w:val="201A3F9E"/>
    <w:rsid w:val="20B5531D"/>
    <w:rsid w:val="20D42963"/>
    <w:rsid w:val="21627943"/>
    <w:rsid w:val="21650F9A"/>
    <w:rsid w:val="21E964B7"/>
    <w:rsid w:val="230B2F94"/>
    <w:rsid w:val="240B106D"/>
    <w:rsid w:val="254A2B23"/>
    <w:rsid w:val="26176F5C"/>
    <w:rsid w:val="26F56A48"/>
    <w:rsid w:val="287D59CE"/>
    <w:rsid w:val="2C0C792D"/>
    <w:rsid w:val="2C1873EE"/>
    <w:rsid w:val="2CEB3345"/>
    <w:rsid w:val="2DB40DF9"/>
    <w:rsid w:val="2FEB0B47"/>
    <w:rsid w:val="30496C0B"/>
    <w:rsid w:val="31CA6593"/>
    <w:rsid w:val="31D5576E"/>
    <w:rsid w:val="32617813"/>
    <w:rsid w:val="33004416"/>
    <w:rsid w:val="330F54E8"/>
    <w:rsid w:val="339838F6"/>
    <w:rsid w:val="347F0626"/>
    <w:rsid w:val="351D273D"/>
    <w:rsid w:val="360925CD"/>
    <w:rsid w:val="365A7CAA"/>
    <w:rsid w:val="36A645E9"/>
    <w:rsid w:val="376DDEAB"/>
    <w:rsid w:val="38CE6B54"/>
    <w:rsid w:val="391814F1"/>
    <w:rsid w:val="398A2CC6"/>
    <w:rsid w:val="39970DDE"/>
    <w:rsid w:val="3B743F64"/>
    <w:rsid w:val="3C696B0B"/>
    <w:rsid w:val="3D597EFD"/>
    <w:rsid w:val="3F6C534A"/>
    <w:rsid w:val="40CE3179"/>
    <w:rsid w:val="424B0336"/>
    <w:rsid w:val="44B13A8B"/>
    <w:rsid w:val="458B0B53"/>
    <w:rsid w:val="458C4E9B"/>
    <w:rsid w:val="45CB7862"/>
    <w:rsid w:val="463E5CE2"/>
    <w:rsid w:val="46EE68FE"/>
    <w:rsid w:val="47633489"/>
    <w:rsid w:val="47B24066"/>
    <w:rsid w:val="47D25DDC"/>
    <w:rsid w:val="482821E8"/>
    <w:rsid w:val="487B7A3A"/>
    <w:rsid w:val="48D34ABF"/>
    <w:rsid w:val="4AAE05EC"/>
    <w:rsid w:val="4B270174"/>
    <w:rsid w:val="4C5C6069"/>
    <w:rsid w:val="4CAC2377"/>
    <w:rsid w:val="4ED30A59"/>
    <w:rsid w:val="4F9B4071"/>
    <w:rsid w:val="4FF91241"/>
    <w:rsid w:val="50547B39"/>
    <w:rsid w:val="50D31B5E"/>
    <w:rsid w:val="50E80F37"/>
    <w:rsid w:val="511B7EE3"/>
    <w:rsid w:val="51D47D72"/>
    <w:rsid w:val="5227792F"/>
    <w:rsid w:val="530578C6"/>
    <w:rsid w:val="533F390A"/>
    <w:rsid w:val="534D6B6B"/>
    <w:rsid w:val="53DD53FF"/>
    <w:rsid w:val="55B533C1"/>
    <w:rsid w:val="55FD3239"/>
    <w:rsid w:val="56E9858C"/>
    <w:rsid w:val="57A11281"/>
    <w:rsid w:val="58F46EE6"/>
    <w:rsid w:val="594E6182"/>
    <w:rsid w:val="59B05417"/>
    <w:rsid w:val="5AB11B44"/>
    <w:rsid w:val="5AC87635"/>
    <w:rsid w:val="5AF706BA"/>
    <w:rsid w:val="5C990634"/>
    <w:rsid w:val="5D331526"/>
    <w:rsid w:val="5D742629"/>
    <w:rsid w:val="5F1A7E4E"/>
    <w:rsid w:val="5F4C0CFD"/>
    <w:rsid w:val="606B62D0"/>
    <w:rsid w:val="607B1444"/>
    <w:rsid w:val="61516DA9"/>
    <w:rsid w:val="628E47CC"/>
    <w:rsid w:val="6373286A"/>
    <w:rsid w:val="63893E2F"/>
    <w:rsid w:val="64FB5B4E"/>
    <w:rsid w:val="65E31009"/>
    <w:rsid w:val="66241651"/>
    <w:rsid w:val="669522AC"/>
    <w:rsid w:val="68785195"/>
    <w:rsid w:val="68DB413C"/>
    <w:rsid w:val="69225290"/>
    <w:rsid w:val="695D7F39"/>
    <w:rsid w:val="6A0C4623"/>
    <w:rsid w:val="6A510DF7"/>
    <w:rsid w:val="6AD663CA"/>
    <w:rsid w:val="70014A9F"/>
    <w:rsid w:val="70691926"/>
    <w:rsid w:val="715D3828"/>
    <w:rsid w:val="71BC1278"/>
    <w:rsid w:val="7274469E"/>
    <w:rsid w:val="7320574F"/>
    <w:rsid w:val="73860103"/>
    <w:rsid w:val="744F67C6"/>
    <w:rsid w:val="745C5F40"/>
    <w:rsid w:val="76407FA2"/>
    <w:rsid w:val="769C3C91"/>
    <w:rsid w:val="772703C0"/>
    <w:rsid w:val="777F029E"/>
    <w:rsid w:val="77B79FCB"/>
    <w:rsid w:val="77E54CE5"/>
    <w:rsid w:val="78BB1055"/>
    <w:rsid w:val="79588279"/>
    <w:rsid w:val="7B3E2DED"/>
    <w:rsid w:val="7B7D3F66"/>
    <w:rsid w:val="7BB611A8"/>
    <w:rsid w:val="7CE05E30"/>
    <w:rsid w:val="7DB64514"/>
    <w:rsid w:val="7DDA272D"/>
    <w:rsid w:val="7E2162A3"/>
    <w:rsid w:val="7E4E376B"/>
    <w:rsid w:val="7EA062EA"/>
    <w:rsid w:val="7EBDD012"/>
    <w:rsid w:val="7EBF0BFA"/>
    <w:rsid w:val="7F3C6385"/>
    <w:rsid w:val="7F9A1B36"/>
    <w:rsid w:val="7FB5E34C"/>
    <w:rsid w:val="7FFE8555"/>
    <w:rsid w:val="B9FF1493"/>
    <w:rsid w:val="BE7EE94A"/>
    <w:rsid w:val="BF255286"/>
    <w:rsid w:val="CFE345DA"/>
    <w:rsid w:val="D35EACF3"/>
    <w:rsid w:val="D4FB4110"/>
    <w:rsid w:val="D5FF3267"/>
    <w:rsid w:val="DE7AB086"/>
    <w:rsid w:val="DFFF9AEF"/>
    <w:rsid w:val="E7DF037E"/>
    <w:rsid w:val="EFFB57FD"/>
    <w:rsid w:val="FBED267F"/>
    <w:rsid w:val="FBFD560F"/>
    <w:rsid w:val="FCDE1E29"/>
    <w:rsid w:val="FCEBD630"/>
    <w:rsid w:val="FFEEF7A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name="index 1"/>
    <w:lsdException w:qFormat="1" w:unhideWhenUsed="0" w:uiPriority="99" w:name="index 2"/>
    <w:lsdException w:qFormat="1" w:unhideWhenUsed="0" w:uiPriority="99" w:name="index 3"/>
    <w:lsdException w:qFormat="1" w:unhideWhenUsed="0" w:uiPriority="99" w:name="index 4"/>
    <w:lsdException w:qFormat="1" w:unhideWhenUsed="0" w:uiPriority="99" w:name="index 5"/>
    <w:lsdException w:qFormat="1" w:unhideWhenUsed="0" w:uiPriority="99" w:name="index 6"/>
    <w:lsdException w:qFormat="1" w:unhideWhenUsed="0" w:uiPriority="99" w:name="index 7"/>
    <w:lsdException w:qFormat="1" w:unhideWhenUsed="0" w:uiPriority="99" w:name="index 8"/>
    <w:lsdException w:qFormat="1" w:unhideWhenUsed="0" w:uiPriority="99"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name="footnote text"/>
    <w:lsdException w:uiPriority="99" w:name="annotation text" w:locked="1"/>
    <w:lsdException w:qFormat="1" w:unhideWhenUsed="0" w:uiPriority="0" w:semiHidden="0" w:name="header"/>
    <w:lsdException w:qFormat="1" w:unhideWhenUsed="0" w:uiPriority="99" w:semiHidden="0" w:name="footer"/>
    <w:lsdException w:qFormat="1" w:unhideWhenUsed="0" w:uiPriority="99"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0"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semiHidden="0"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43"/>
    <w:qFormat/>
    <w:uiPriority w:val="99"/>
    <w:pPr>
      <w:keepNext/>
      <w:keepLines/>
      <w:spacing w:before="260" w:after="260" w:line="416" w:lineRule="auto"/>
      <w:outlineLvl w:val="1"/>
    </w:pPr>
    <w:rPr>
      <w:rFonts w:ascii="Cambria" w:hAnsi="Cambria" w:cs="Cambria"/>
      <w:b/>
      <w:bCs/>
      <w:sz w:val="32"/>
      <w:szCs w:val="32"/>
    </w:rPr>
  </w:style>
  <w:style w:type="character" w:default="1" w:styleId="34">
    <w:name w:val="Default Paragraph Font"/>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0" w:firstLineChars="500"/>
      <w:jc w:val="left"/>
    </w:pPr>
    <w:rPr>
      <w:rFonts w:ascii="宋体" w:cs="宋体"/>
    </w:rPr>
  </w:style>
  <w:style w:type="paragraph" w:styleId="5">
    <w:name w:val="index 8"/>
    <w:basedOn w:val="1"/>
    <w:next w:val="1"/>
    <w:semiHidden/>
    <w:qFormat/>
    <w:uiPriority w:val="99"/>
    <w:pPr>
      <w:ind w:left="1680" w:hanging="210"/>
      <w:jc w:val="left"/>
    </w:pPr>
    <w:rPr>
      <w:rFonts w:ascii="Calibri" w:hAnsi="Calibri" w:cs="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semiHidden/>
    <w:qFormat/>
    <w:uiPriority w:val="99"/>
    <w:pPr>
      <w:ind w:left="1050" w:hanging="210"/>
      <w:jc w:val="left"/>
    </w:pPr>
    <w:rPr>
      <w:rFonts w:ascii="Calibri" w:hAnsi="Calibri" w:cs="Calibri"/>
      <w:sz w:val="20"/>
      <w:szCs w:val="20"/>
    </w:rPr>
  </w:style>
  <w:style w:type="paragraph" w:styleId="8">
    <w:name w:val="Document Map"/>
    <w:basedOn w:val="1"/>
    <w:link w:val="44"/>
    <w:semiHidden/>
    <w:qFormat/>
    <w:uiPriority w:val="99"/>
    <w:pPr>
      <w:shd w:val="clear" w:color="auto" w:fill="000080"/>
    </w:pPr>
  </w:style>
  <w:style w:type="paragraph" w:styleId="9">
    <w:name w:val="index 6"/>
    <w:basedOn w:val="1"/>
    <w:next w:val="1"/>
    <w:semiHidden/>
    <w:qFormat/>
    <w:uiPriority w:val="99"/>
    <w:pPr>
      <w:ind w:left="1260" w:hanging="210"/>
      <w:jc w:val="left"/>
    </w:pPr>
    <w:rPr>
      <w:rFonts w:ascii="Calibri" w:hAnsi="Calibri" w:cs="Calibri"/>
      <w:sz w:val="20"/>
      <w:szCs w:val="20"/>
    </w:rPr>
  </w:style>
  <w:style w:type="paragraph" w:styleId="10">
    <w:name w:val="index 4"/>
    <w:basedOn w:val="1"/>
    <w:next w:val="1"/>
    <w:semiHidden/>
    <w:qFormat/>
    <w:uiPriority w:val="99"/>
    <w:pPr>
      <w:ind w:left="840" w:hanging="210"/>
      <w:jc w:val="left"/>
    </w:pPr>
    <w:rPr>
      <w:rFonts w:ascii="Calibri" w:hAnsi="Calibri" w:cs="Calibri"/>
      <w:sz w:val="20"/>
      <w:szCs w:val="20"/>
    </w:rPr>
  </w:style>
  <w:style w:type="paragraph" w:styleId="11">
    <w:name w:val="toc 5"/>
    <w:basedOn w:val="1"/>
    <w:next w:val="1"/>
    <w:semiHidden/>
    <w:qFormat/>
    <w:uiPriority w:val="99"/>
    <w:pPr>
      <w:tabs>
        <w:tab w:val="right" w:leader="dot" w:pos="9241"/>
      </w:tabs>
      <w:ind w:firstLine="300" w:firstLineChars="300"/>
      <w:jc w:val="left"/>
    </w:pPr>
    <w:rPr>
      <w:rFonts w:ascii="宋体" w:cs="宋体"/>
    </w:rPr>
  </w:style>
  <w:style w:type="paragraph" w:styleId="12">
    <w:name w:val="toc 3"/>
    <w:basedOn w:val="1"/>
    <w:next w:val="1"/>
    <w:semiHidden/>
    <w:qFormat/>
    <w:uiPriority w:val="99"/>
    <w:pPr>
      <w:tabs>
        <w:tab w:val="right" w:leader="dot" w:pos="9241"/>
      </w:tabs>
      <w:ind w:firstLine="100" w:firstLineChars="100"/>
      <w:jc w:val="left"/>
    </w:pPr>
    <w:rPr>
      <w:rFonts w:ascii="宋体" w:cs="宋体"/>
    </w:rPr>
  </w:style>
  <w:style w:type="paragraph" w:styleId="13">
    <w:name w:val="toc 8"/>
    <w:basedOn w:val="1"/>
    <w:next w:val="1"/>
    <w:semiHidden/>
    <w:qFormat/>
    <w:uiPriority w:val="99"/>
    <w:pPr>
      <w:tabs>
        <w:tab w:val="right" w:leader="dot" w:pos="9241"/>
      </w:tabs>
      <w:ind w:firstLine="607" w:firstLineChars="600"/>
      <w:jc w:val="left"/>
    </w:pPr>
    <w:rPr>
      <w:rFonts w:ascii="宋体" w:cs="宋体"/>
    </w:rPr>
  </w:style>
  <w:style w:type="paragraph" w:styleId="14">
    <w:name w:val="index 3"/>
    <w:basedOn w:val="1"/>
    <w:next w:val="1"/>
    <w:semiHidden/>
    <w:qFormat/>
    <w:uiPriority w:val="99"/>
    <w:pPr>
      <w:ind w:left="630" w:hanging="210"/>
      <w:jc w:val="left"/>
    </w:pPr>
    <w:rPr>
      <w:rFonts w:ascii="Calibri" w:hAnsi="Calibri" w:cs="Calibri"/>
      <w:sz w:val="20"/>
      <w:szCs w:val="20"/>
    </w:rPr>
  </w:style>
  <w:style w:type="paragraph" w:styleId="15">
    <w:name w:val="Date"/>
    <w:basedOn w:val="1"/>
    <w:next w:val="1"/>
    <w:link w:val="45"/>
    <w:qFormat/>
    <w:uiPriority w:val="99"/>
    <w:pPr>
      <w:ind w:left="100" w:leftChars="2500"/>
    </w:pPr>
  </w:style>
  <w:style w:type="paragraph" w:styleId="16">
    <w:name w:val="endnote text"/>
    <w:basedOn w:val="1"/>
    <w:link w:val="46"/>
    <w:semiHidden/>
    <w:qFormat/>
    <w:uiPriority w:val="99"/>
    <w:pPr>
      <w:snapToGrid w:val="0"/>
      <w:jc w:val="left"/>
    </w:pPr>
  </w:style>
  <w:style w:type="paragraph" w:styleId="17">
    <w:name w:val="footer"/>
    <w:basedOn w:val="1"/>
    <w:link w:val="47"/>
    <w:qFormat/>
    <w:uiPriority w:val="99"/>
    <w:pPr>
      <w:snapToGrid w:val="0"/>
      <w:ind w:right="210" w:rightChars="100"/>
      <w:jc w:val="right"/>
    </w:pPr>
    <w:rPr>
      <w:sz w:val="18"/>
      <w:szCs w:val="18"/>
    </w:rPr>
  </w:style>
  <w:style w:type="paragraph" w:styleId="18">
    <w:name w:val="header"/>
    <w:basedOn w:val="1"/>
    <w:link w:val="48"/>
    <w:qFormat/>
    <w:uiPriority w:val="0"/>
    <w:pPr>
      <w:snapToGrid w:val="0"/>
      <w:jc w:val="left"/>
    </w:pPr>
    <w:rPr>
      <w:sz w:val="18"/>
      <w:szCs w:val="18"/>
    </w:rPr>
  </w:style>
  <w:style w:type="paragraph" w:styleId="19">
    <w:name w:val="toc 1"/>
    <w:basedOn w:val="1"/>
    <w:next w:val="1"/>
    <w:semiHidden/>
    <w:qFormat/>
    <w:uiPriority w:val="99"/>
    <w:pPr>
      <w:tabs>
        <w:tab w:val="right" w:leader="dot" w:pos="9242"/>
      </w:tabs>
      <w:spacing w:beforeLines="25" w:afterLines="25"/>
      <w:jc w:val="left"/>
    </w:pPr>
    <w:rPr>
      <w:rFonts w:ascii="宋体" w:cs="宋体"/>
    </w:rPr>
  </w:style>
  <w:style w:type="paragraph" w:styleId="20">
    <w:name w:val="toc 4"/>
    <w:basedOn w:val="1"/>
    <w:next w:val="1"/>
    <w:semiHidden/>
    <w:qFormat/>
    <w:uiPriority w:val="99"/>
    <w:pPr>
      <w:tabs>
        <w:tab w:val="right" w:leader="dot" w:pos="9241"/>
      </w:tabs>
      <w:ind w:firstLine="200" w:firstLineChars="200"/>
      <w:jc w:val="left"/>
    </w:pPr>
    <w:rPr>
      <w:rFonts w:ascii="宋体" w:cs="宋体"/>
    </w:rPr>
  </w:style>
  <w:style w:type="paragraph" w:styleId="21">
    <w:name w:val="index heading"/>
    <w:basedOn w:val="1"/>
    <w:next w:val="22"/>
    <w:semiHidden/>
    <w:qFormat/>
    <w:uiPriority w:val="99"/>
    <w:pPr>
      <w:spacing w:before="120" w:after="120"/>
      <w:jc w:val="center"/>
    </w:pPr>
    <w:rPr>
      <w:rFonts w:ascii="Calibri" w:hAnsi="Calibri" w:cs="Calibri"/>
      <w:b/>
      <w:bCs/>
    </w:rPr>
  </w:style>
  <w:style w:type="paragraph" w:styleId="22">
    <w:name w:val="index 1"/>
    <w:basedOn w:val="1"/>
    <w:next w:val="23"/>
    <w:semiHidden/>
    <w:qFormat/>
    <w:uiPriority w:val="99"/>
    <w:pPr>
      <w:tabs>
        <w:tab w:val="right" w:leader="dot" w:pos="9299"/>
      </w:tabs>
      <w:jc w:val="left"/>
    </w:pPr>
    <w:rPr>
      <w:rFonts w:ascii="宋体" w:cs="宋体"/>
    </w:rPr>
  </w:style>
  <w:style w:type="paragraph" w:customStyle="1" w:styleId="23">
    <w:name w:val="段"/>
    <w:link w:val="50"/>
    <w:qFormat/>
    <w:uiPriority w:val="0"/>
    <w:pPr>
      <w:tabs>
        <w:tab w:val="center" w:pos="4201"/>
        <w:tab w:val="right" w:leader="dot" w:pos="9298"/>
      </w:tabs>
      <w:autoSpaceDE w:val="0"/>
      <w:autoSpaceDN w:val="0"/>
      <w:ind w:firstLine="420" w:firstLineChars="200"/>
      <w:jc w:val="both"/>
    </w:pPr>
    <w:rPr>
      <w:rFonts w:ascii="宋体" w:hAnsi="Times New Roman" w:eastAsia="宋体" w:cs="宋体"/>
      <w:sz w:val="21"/>
      <w:szCs w:val="21"/>
      <w:lang w:val="en-US" w:eastAsia="zh-CN" w:bidi="ar-SA"/>
    </w:rPr>
  </w:style>
  <w:style w:type="paragraph" w:styleId="24">
    <w:name w:val="footnote text"/>
    <w:basedOn w:val="1"/>
    <w:link w:val="49"/>
    <w:semiHidden/>
    <w:qFormat/>
    <w:uiPriority w:val="99"/>
    <w:pPr>
      <w:numPr>
        <w:ilvl w:val="0"/>
        <w:numId w:val="1"/>
      </w:numPr>
      <w:snapToGrid w:val="0"/>
      <w:jc w:val="left"/>
    </w:pPr>
    <w:rPr>
      <w:rFonts w:ascii="宋体" w:cs="宋体"/>
      <w:sz w:val="18"/>
      <w:szCs w:val="18"/>
    </w:rPr>
  </w:style>
  <w:style w:type="paragraph" w:styleId="25">
    <w:name w:val="toc 6"/>
    <w:basedOn w:val="1"/>
    <w:next w:val="1"/>
    <w:semiHidden/>
    <w:qFormat/>
    <w:uiPriority w:val="99"/>
    <w:pPr>
      <w:tabs>
        <w:tab w:val="right" w:leader="dot" w:pos="9241"/>
      </w:tabs>
      <w:ind w:firstLine="400" w:firstLineChars="400"/>
      <w:jc w:val="left"/>
    </w:pPr>
    <w:rPr>
      <w:rFonts w:ascii="宋体" w:cs="宋体"/>
    </w:rPr>
  </w:style>
  <w:style w:type="paragraph" w:styleId="26">
    <w:name w:val="index 7"/>
    <w:basedOn w:val="1"/>
    <w:next w:val="1"/>
    <w:semiHidden/>
    <w:qFormat/>
    <w:uiPriority w:val="99"/>
    <w:pPr>
      <w:ind w:left="1470" w:hanging="210"/>
      <w:jc w:val="left"/>
    </w:pPr>
    <w:rPr>
      <w:rFonts w:ascii="Calibri" w:hAnsi="Calibri" w:cs="Calibri"/>
      <w:sz w:val="20"/>
      <w:szCs w:val="20"/>
    </w:rPr>
  </w:style>
  <w:style w:type="paragraph" w:styleId="27">
    <w:name w:val="index 9"/>
    <w:basedOn w:val="1"/>
    <w:next w:val="1"/>
    <w:semiHidden/>
    <w:qFormat/>
    <w:uiPriority w:val="99"/>
    <w:pPr>
      <w:ind w:left="1890" w:hanging="210"/>
      <w:jc w:val="left"/>
    </w:pPr>
    <w:rPr>
      <w:rFonts w:ascii="Calibri" w:hAnsi="Calibri" w:cs="Calibri"/>
      <w:sz w:val="20"/>
      <w:szCs w:val="20"/>
    </w:rPr>
  </w:style>
  <w:style w:type="paragraph" w:styleId="28">
    <w:name w:val="toc 2"/>
    <w:basedOn w:val="1"/>
    <w:next w:val="1"/>
    <w:semiHidden/>
    <w:qFormat/>
    <w:uiPriority w:val="99"/>
    <w:pPr>
      <w:tabs>
        <w:tab w:val="right" w:leader="dot" w:pos="9242"/>
      </w:tabs>
    </w:pPr>
    <w:rPr>
      <w:rFonts w:ascii="宋体" w:cs="宋体"/>
    </w:rPr>
  </w:style>
  <w:style w:type="paragraph" w:styleId="29">
    <w:name w:val="toc 9"/>
    <w:basedOn w:val="1"/>
    <w:next w:val="1"/>
    <w:semiHidden/>
    <w:qFormat/>
    <w:uiPriority w:val="99"/>
    <w:pPr>
      <w:ind w:left="1470"/>
      <w:jc w:val="left"/>
    </w:pPr>
    <w:rPr>
      <w:sz w:val="20"/>
      <w:szCs w:val="20"/>
    </w:rPr>
  </w:style>
  <w:style w:type="paragraph" w:styleId="30">
    <w:name w:val="Normal (Web)"/>
    <w:basedOn w:val="1"/>
    <w:qFormat/>
    <w:uiPriority w:val="99"/>
    <w:pPr>
      <w:spacing w:before="100" w:beforeAutospacing="1" w:after="100" w:afterAutospacing="1"/>
      <w:jc w:val="left"/>
    </w:pPr>
    <w:rPr>
      <w:kern w:val="0"/>
      <w:sz w:val="24"/>
      <w:szCs w:val="24"/>
    </w:rPr>
  </w:style>
  <w:style w:type="paragraph" w:styleId="31">
    <w:name w:val="index 2"/>
    <w:basedOn w:val="1"/>
    <w:next w:val="1"/>
    <w:semiHidden/>
    <w:qFormat/>
    <w:uiPriority w:val="99"/>
    <w:pPr>
      <w:ind w:left="420" w:hanging="210"/>
      <w:jc w:val="left"/>
    </w:pPr>
    <w:rPr>
      <w:rFonts w:ascii="Calibri" w:hAnsi="Calibri" w:cs="Calibri"/>
      <w:sz w:val="20"/>
      <w:szCs w:val="20"/>
    </w:rPr>
  </w:style>
  <w:style w:type="table" w:styleId="33">
    <w:name w:val="Table Grid"/>
    <w:basedOn w:val="32"/>
    <w:qFormat/>
    <w:uiPriority w:val="99"/>
    <w:rPr>
      <w:rFonts w:ascii="宋体" w:cs="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basedOn w:val="34"/>
    <w:qFormat/>
    <w:uiPriority w:val="0"/>
    <w:rPr>
      <w:b/>
    </w:rPr>
  </w:style>
  <w:style w:type="character" w:styleId="36">
    <w:name w:val="endnote reference"/>
    <w:basedOn w:val="34"/>
    <w:semiHidden/>
    <w:qFormat/>
    <w:uiPriority w:val="99"/>
    <w:rPr>
      <w:vertAlign w:val="superscript"/>
    </w:rPr>
  </w:style>
  <w:style w:type="character" w:styleId="37">
    <w:name w:val="page number"/>
    <w:basedOn w:val="34"/>
    <w:qFormat/>
    <w:uiPriority w:val="0"/>
    <w:rPr>
      <w:rFonts w:ascii="Times New Roman" w:hAnsi="Times New Roman" w:eastAsia="宋体" w:cs="Times New Roman"/>
      <w:sz w:val="18"/>
      <w:szCs w:val="18"/>
    </w:rPr>
  </w:style>
  <w:style w:type="character" w:styleId="38">
    <w:name w:val="FollowedHyperlink"/>
    <w:basedOn w:val="34"/>
    <w:qFormat/>
    <w:uiPriority w:val="99"/>
    <w:rPr>
      <w:color w:val="800080"/>
      <w:u w:val="single"/>
    </w:rPr>
  </w:style>
  <w:style w:type="character" w:styleId="39">
    <w:name w:val="HTML Acronym"/>
    <w:basedOn w:val="34"/>
    <w:qFormat/>
    <w:uiPriority w:val="99"/>
  </w:style>
  <w:style w:type="character" w:styleId="40">
    <w:name w:val="Hyperlink"/>
    <w:basedOn w:val="34"/>
    <w:qFormat/>
    <w:uiPriority w:val="99"/>
    <w:rPr>
      <w:color w:val="0000FF"/>
      <w:spacing w:val="0"/>
      <w:w w:val="100"/>
      <w:sz w:val="21"/>
      <w:szCs w:val="21"/>
      <w:u w:val="single"/>
    </w:rPr>
  </w:style>
  <w:style w:type="character" w:styleId="41">
    <w:name w:val="annotation reference"/>
    <w:basedOn w:val="34"/>
    <w:semiHidden/>
    <w:qFormat/>
    <w:uiPriority w:val="99"/>
    <w:rPr>
      <w:sz w:val="21"/>
      <w:szCs w:val="21"/>
    </w:rPr>
  </w:style>
  <w:style w:type="character" w:styleId="42">
    <w:name w:val="footnote reference"/>
    <w:basedOn w:val="34"/>
    <w:semiHidden/>
    <w:qFormat/>
    <w:uiPriority w:val="99"/>
    <w:rPr>
      <w:vertAlign w:val="superscript"/>
    </w:rPr>
  </w:style>
  <w:style w:type="character" w:customStyle="1" w:styleId="43">
    <w:name w:val="标题 2 Char"/>
    <w:basedOn w:val="34"/>
    <w:link w:val="3"/>
    <w:qFormat/>
    <w:locked/>
    <w:uiPriority w:val="99"/>
    <w:rPr>
      <w:rFonts w:ascii="Cambria" w:hAnsi="Cambria" w:eastAsia="宋体" w:cs="Cambria"/>
      <w:b/>
      <w:bCs/>
      <w:kern w:val="2"/>
      <w:sz w:val="32"/>
      <w:szCs w:val="32"/>
    </w:rPr>
  </w:style>
  <w:style w:type="character" w:customStyle="1" w:styleId="44">
    <w:name w:val="文档结构图 Char"/>
    <w:basedOn w:val="34"/>
    <w:link w:val="8"/>
    <w:semiHidden/>
    <w:qFormat/>
    <w:locked/>
    <w:uiPriority w:val="99"/>
    <w:rPr>
      <w:sz w:val="2"/>
      <w:szCs w:val="2"/>
    </w:rPr>
  </w:style>
  <w:style w:type="character" w:customStyle="1" w:styleId="45">
    <w:name w:val="日期 Char"/>
    <w:basedOn w:val="34"/>
    <w:link w:val="15"/>
    <w:semiHidden/>
    <w:qFormat/>
    <w:locked/>
    <w:uiPriority w:val="99"/>
    <w:rPr>
      <w:kern w:val="2"/>
      <w:sz w:val="24"/>
      <w:szCs w:val="24"/>
    </w:rPr>
  </w:style>
  <w:style w:type="character" w:customStyle="1" w:styleId="46">
    <w:name w:val="尾注文本 Char"/>
    <w:basedOn w:val="34"/>
    <w:link w:val="16"/>
    <w:semiHidden/>
    <w:qFormat/>
    <w:locked/>
    <w:uiPriority w:val="99"/>
    <w:rPr>
      <w:sz w:val="24"/>
      <w:szCs w:val="24"/>
    </w:rPr>
  </w:style>
  <w:style w:type="character" w:customStyle="1" w:styleId="47">
    <w:name w:val="页脚 Char"/>
    <w:basedOn w:val="34"/>
    <w:link w:val="17"/>
    <w:semiHidden/>
    <w:qFormat/>
    <w:locked/>
    <w:uiPriority w:val="99"/>
    <w:rPr>
      <w:sz w:val="18"/>
      <w:szCs w:val="18"/>
    </w:rPr>
  </w:style>
  <w:style w:type="character" w:customStyle="1" w:styleId="48">
    <w:name w:val="页眉 Char"/>
    <w:basedOn w:val="34"/>
    <w:link w:val="18"/>
    <w:semiHidden/>
    <w:qFormat/>
    <w:locked/>
    <w:uiPriority w:val="99"/>
    <w:rPr>
      <w:sz w:val="18"/>
      <w:szCs w:val="18"/>
    </w:rPr>
  </w:style>
  <w:style w:type="character" w:customStyle="1" w:styleId="49">
    <w:name w:val="脚注文本 Char"/>
    <w:basedOn w:val="34"/>
    <w:link w:val="24"/>
    <w:semiHidden/>
    <w:qFormat/>
    <w:locked/>
    <w:uiPriority w:val="99"/>
    <w:rPr>
      <w:sz w:val="18"/>
      <w:szCs w:val="18"/>
    </w:rPr>
  </w:style>
  <w:style w:type="character" w:customStyle="1" w:styleId="50">
    <w:name w:val="段 Char"/>
    <w:basedOn w:val="34"/>
    <w:link w:val="23"/>
    <w:qFormat/>
    <w:locked/>
    <w:uiPriority w:val="0"/>
    <w:rPr>
      <w:rFonts w:ascii="宋体" w:cs="宋体"/>
      <w:sz w:val="21"/>
      <w:szCs w:val="21"/>
      <w:lang w:val="en-US" w:eastAsia="zh-CN" w:bidi="ar-SA"/>
    </w:rPr>
  </w:style>
  <w:style w:type="paragraph" w:customStyle="1" w:styleId="51">
    <w:name w:val="一级条标题"/>
    <w:next w:val="23"/>
    <w:link w:val="148"/>
    <w:qFormat/>
    <w:uiPriority w:val="0"/>
    <w:pPr>
      <w:numPr>
        <w:ilvl w:val="1"/>
        <w:numId w:val="2"/>
      </w:numPr>
      <w:spacing w:beforeLines="50" w:afterLines="50"/>
      <w:outlineLvl w:val="2"/>
    </w:pPr>
    <w:rPr>
      <w:rFonts w:ascii="黑体" w:hAnsi="Times New Roman" w:eastAsia="黑体" w:cs="黑体"/>
      <w:sz w:val="21"/>
      <w:szCs w:val="21"/>
      <w:lang w:val="en-US" w:eastAsia="zh-CN" w:bidi="ar-SA"/>
    </w:rPr>
  </w:style>
  <w:style w:type="paragraph" w:customStyle="1" w:styleId="52">
    <w:name w:val="标准书脚_奇数页"/>
    <w:qFormat/>
    <w:uiPriority w:val="99"/>
    <w:pPr>
      <w:spacing w:before="120"/>
      <w:ind w:right="198"/>
      <w:jc w:val="right"/>
    </w:pPr>
    <w:rPr>
      <w:rFonts w:ascii="宋体" w:hAnsi="Times New Roman" w:eastAsia="宋体" w:cs="宋体"/>
      <w:sz w:val="18"/>
      <w:szCs w:val="18"/>
      <w:lang w:val="en-US" w:eastAsia="zh-CN" w:bidi="ar-SA"/>
    </w:rPr>
  </w:style>
  <w:style w:type="paragraph" w:customStyle="1" w:styleId="53">
    <w:name w:val="标准书眉_奇数页"/>
    <w:next w:val="1"/>
    <w:qFormat/>
    <w:uiPriority w:val="99"/>
    <w:pPr>
      <w:tabs>
        <w:tab w:val="center" w:pos="4154"/>
        <w:tab w:val="right" w:pos="8306"/>
      </w:tabs>
      <w:spacing w:after="220"/>
      <w:jc w:val="right"/>
    </w:pPr>
    <w:rPr>
      <w:rFonts w:ascii="黑体" w:hAnsi="Times New Roman" w:eastAsia="黑体" w:cs="黑体"/>
      <w:sz w:val="21"/>
      <w:szCs w:val="21"/>
      <w:lang w:val="en-US" w:eastAsia="zh-CN" w:bidi="ar-SA"/>
    </w:rPr>
  </w:style>
  <w:style w:type="paragraph" w:customStyle="1" w:styleId="54">
    <w:name w:val="章标题"/>
    <w:next w:val="23"/>
    <w:qFormat/>
    <w:uiPriority w:val="0"/>
    <w:pPr>
      <w:numPr>
        <w:ilvl w:val="0"/>
        <w:numId w:val="2"/>
      </w:numPr>
      <w:spacing w:beforeLines="100" w:afterLines="100"/>
      <w:jc w:val="both"/>
      <w:outlineLvl w:val="1"/>
    </w:pPr>
    <w:rPr>
      <w:rFonts w:ascii="黑体" w:hAnsi="Times New Roman" w:eastAsia="黑体" w:cs="黑体"/>
      <w:sz w:val="21"/>
      <w:szCs w:val="21"/>
      <w:lang w:val="en-US" w:eastAsia="zh-CN" w:bidi="ar-SA"/>
    </w:rPr>
  </w:style>
  <w:style w:type="paragraph" w:customStyle="1" w:styleId="55">
    <w:name w:val="二级条标题"/>
    <w:basedOn w:val="51"/>
    <w:next w:val="23"/>
    <w:qFormat/>
    <w:uiPriority w:val="0"/>
    <w:pPr>
      <w:numPr>
        <w:ilvl w:val="2"/>
      </w:numPr>
      <w:spacing w:before="50" w:after="50"/>
      <w:outlineLvl w:val="3"/>
    </w:pPr>
  </w:style>
  <w:style w:type="paragraph" w:customStyle="1" w:styleId="5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黑体"/>
      <w:sz w:val="28"/>
      <w:szCs w:val="28"/>
      <w:lang w:val="en-US" w:eastAsia="zh-CN" w:bidi="ar-SA"/>
    </w:rPr>
  </w:style>
  <w:style w:type="paragraph" w:customStyle="1" w:styleId="57">
    <w:name w:val="列项——（一级）"/>
    <w:qFormat/>
    <w:uiPriority w:val="99"/>
    <w:pPr>
      <w:widowControl w:val="0"/>
      <w:numPr>
        <w:ilvl w:val="0"/>
        <w:numId w:val="3"/>
      </w:numPr>
      <w:jc w:val="both"/>
    </w:pPr>
    <w:rPr>
      <w:rFonts w:ascii="宋体" w:hAnsi="Times New Roman" w:eastAsia="宋体" w:cs="宋体"/>
      <w:sz w:val="21"/>
      <w:szCs w:val="21"/>
      <w:lang w:val="en-US" w:eastAsia="zh-CN" w:bidi="ar-SA"/>
    </w:rPr>
  </w:style>
  <w:style w:type="paragraph" w:customStyle="1" w:styleId="58">
    <w:name w:val="列项●（二级）"/>
    <w:qFormat/>
    <w:uiPriority w:val="99"/>
    <w:pPr>
      <w:numPr>
        <w:ilvl w:val="1"/>
        <w:numId w:val="3"/>
      </w:numPr>
      <w:tabs>
        <w:tab w:val="left" w:pos="840"/>
        <w:tab w:val="clear" w:pos="760"/>
      </w:tabs>
      <w:jc w:val="both"/>
    </w:pPr>
    <w:rPr>
      <w:rFonts w:ascii="宋体" w:hAnsi="Times New Roman" w:eastAsia="宋体" w:cs="宋体"/>
      <w:sz w:val="21"/>
      <w:szCs w:val="21"/>
      <w:lang w:val="en-US" w:eastAsia="zh-CN" w:bidi="ar-SA"/>
    </w:rPr>
  </w:style>
  <w:style w:type="paragraph" w:customStyle="1" w:styleId="59">
    <w:name w:val="目次、标准名称标题"/>
    <w:basedOn w:val="1"/>
    <w:next w:val="23"/>
    <w:qFormat/>
    <w:uiPriority w:val="99"/>
    <w:pPr>
      <w:keepNext/>
      <w:pageBreakBefore/>
      <w:widowControl/>
      <w:shd w:val="clear" w:color="FFFFFF" w:fill="FFFFFF"/>
      <w:spacing w:before="640" w:after="560" w:line="460" w:lineRule="exact"/>
      <w:jc w:val="center"/>
      <w:outlineLvl w:val="0"/>
    </w:pPr>
    <w:rPr>
      <w:rFonts w:ascii="黑体" w:eastAsia="黑体" w:cs="黑体"/>
      <w:kern w:val="0"/>
      <w:sz w:val="32"/>
      <w:szCs w:val="32"/>
    </w:rPr>
  </w:style>
  <w:style w:type="paragraph" w:customStyle="1" w:styleId="60">
    <w:name w:val="三级条标题"/>
    <w:basedOn w:val="55"/>
    <w:next w:val="23"/>
    <w:qFormat/>
    <w:uiPriority w:val="0"/>
    <w:pPr>
      <w:numPr>
        <w:ilvl w:val="3"/>
      </w:numPr>
      <w:outlineLvl w:val="4"/>
    </w:pPr>
  </w:style>
  <w:style w:type="paragraph" w:customStyle="1" w:styleId="61">
    <w:name w:val="示例"/>
    <w:next w:val="62"/>
    <w:qFormat/>
    <w:uiPriority w:val="99"/>
    <w:pPr>
      <w:widowControl w:val="0"/>
      <w:ind w:firstLine="363"/>
      <w:jc w:val="both"/>
    </w:pPr>
    <w:rPr>
      <w:rFonts w:ascii="宋体" w:hAnsi="Times New Roman" w:eastAsia="宋体" w:cs="宋体"/>
      <w:sz w:val="18"/>
      <w:szCs w:val="18"/>
      <w:lang w:val="en-US" w:eastAsia="zh-CN" w:bidi="ar-SA"/>
    </w:rPr>
  </w:style>
  <w:style w:type="paragraph" w:customStyle="1" w:styleId="62">
    <w:name w:val="示例内容"/>
    <w:qFormat/>
    <w:uiPriority w:val="99"/>
    <w:pPr>
      <w:ind w:firstLine="200" w:firstLineChars="200"/>
    </w:pPr>
    <w:rPr>
      <w:rFonts w:ascii="宋体" w:hAnsi="Times New Roman" w:eastAsia="宋体" w:cs="宋体"/>
      <w:sz w:val="18"/>
      <w:szCs w:val="18"/>
      <w:lang w:val="en-US" w:eastAsia="zh-CN" w:bidi="ar-SA"/>
    </w:rPr>
  </w:style>
  <w:style w:type="paragraph" w:customStyle="1" w:styleId="63">
    <w:name w:val="数字编号列项（二级）"/>
    <w:qFormat/>
    <w:uiPriority w:val="0"/>
    <w:pPr>
      <w:numPr>
        <w:ilvl w:val="1"/>
        <w:numId w:val="4"/>
      </w:numPr>
      <w:tabs>
        <w:tab w:val="left" w:pos="840"/>
      </w:tabs>
      <w:jc w:val="both"/>
    </w:pPr>
    <w:rPr>
      <w:rFonts w:ascii="宋体" w:hAnsi="Times New Roman" w:eastAsia="宋体" w:cs="宋体"/>
      <w:sz w:val="21"/>
      <w:szCs w:val="21"/>
      <w:lang w:val="en-US" w:eastAsia="zh-CN" w:bidi="ar-SA"/>
    </w:rPr>
  </w:style>
  <w:style w:type="paragraph" w:customStyle="1" w:styleId="64">
    <w:name w:val="四级条标题"/>
    <w:basedOn w:val="60"/>
    <w:next w:val="23"/>
    <w:qFormat/>
    <w:uiPriority w:val="0"/>
    <w:pPr>
      <w:numPr>
        <w:ilvl w:val="4"/>
      </w:numPr>
      <w:outlineLvl w:val="5"/>
    </w:pPr>
  </w:style>
  <w:style w:type="paragraph" w:customStyle="1" w:styleId="65">
    <w:name w:val="五级条标题"/>
    <w:basedOn w:val="64"/>
    <w:next w:val="23"/>
    <w:qFormat/>
    <w:uiPriority w:val="0"/>
    <w:pPr>
      <w:numPr>
        <w:ilvl w:val="5"/>
      </w:numPr>
      <w:outlineLvl w:val="6"/>
    </w:pPr>
  </w:style>
  <w:style w:type="paragraph" w:customStyle="1" w:styleId="66">
    <w:name w:val="注："/>
    <w:next w:val="23"/>
    <w:qFormat/>
    <w:uiPriority w:val="99"/>
    <w:pPr>
      <w:widowControl w:val="0"/>
      <w:autoSpaceDE w:val="0"/>
      <w:autoSpaceDN w:val="0"/>
      <w:ind w:left="726" w:hanging="363"/>
      <w:jc w:val="both"/>
    </w:pPr>
    <w:rPr>
      <w:rFonts w:ascii="宋体" w:hAnsi="Times New Roman" w:eastAsia="宋体" w:cs="宋体"/>
      <w:sz w:val="18"/>
      <w:szCs w:val="18"/>
      <w:lang w:val="en-US" w:eastAsia="zh-CN" w:bidi="ar-SA"/>
    </w:rPr>
  </w:style>
  <w:style w:type="paragraph" w:customStyle="1" w:styleId="67">
    <w:name w:val="注×："/>
    <w:qFormat/>
    <w:uiPriority w:val="99"/>
    <w:pPr>
      <w:widowControl w:val="0"/>
      <w:autoSpaceDE w:val="0"/>
      <w:autoSpaceDN w:val="0"/>
      <w:ind w:left="811" w:hanging="448"/>
      <w:jc w:val="both"/>
    </w:pPr>
    <w:rPr>
      <w:rFonts w:ascii="宋体" w:hAnsi="Times New Roman" w:eastAsia="宋体" w:cs="宋体"/>
      <w:sz w:val="18"/>
      <w:szCs w:val="18"/>
      <w:lang w:val="en-US" w:eastAsia="zh-CN" w:bidi="ar-SA"/>
    </w:rPr>
  </w:style>
  <w:style w:type="paragraph" w:customStyle="1" w:styleId="68">
    <w:name w:val="字母编号列项（一级）"/>
    <w:qFormat/>
    <w:uiPriority w:val="0"/>
    <w:pPr>
      <w:numPr>
        <w:ilvl w:val="0"/>
        <w:numId w:val="4"/>
      </w:numPr>
      <w:jc w:val="both"/>
    </w:pPr>
    <w:rPr>
      <w:rFonts w:ascii="宋体" w:hAnsi="Times New Roman" w:eastAsia="宋体" w:cs="宋体"/>
      <w:sz w:val="21"/>
      <w:szCs w:val="21"/>
      <w:lang w:val="en-US" w:eastAsia="zh-CN" w:bidi="ar-SA"/>
    </w:rPr>
  </w:style>
  <w:style w:type="paragraph" w:customStyle="1" w:styleId="69">
    <w:name w:val="列项◆（三级）"/>
    <w:basedOn w:val="1"/>
    <w:qFormat/>
    <w:uiPriority w:val="99"/>
    <w:pPr>
      <w:numPr>
        <w:ilvl w:val="2"/>
        <w:numId w:val="3"/>
      </w:numPr>
    </w:pPr>
    <w:rPr>
      <w:rFonts w:ascii="宋体" w:cs="宋体"/>
    </w:rPr>
  </w:style>
  <w:style w:type="paragraph" w:customStyle="1" w:styleId="70">
    <w:name w:val="编号列项（三级）"/>
    <w:qFormat/>
    <w:uiPriority w:val="0"/>
    <w:pPr>
      <w:numPr>
        <w:ilvl w:val="2"/>
        <w:numId w:val="4"/>
      </w:numPr>
      <w:tabs>
        <w:tab w:val="left" w:pos="840"/>
      </w:tabs>
    </w:pPr>
    <w:rPr>
      <w:rFonts w:ascii="宋体" w:hAnsi="Times New Roman" w:eastAsia="宋体" w:cs="宋体"/>
      <w:sz w:val="21"/>
      <w:szCs w:val="21"/>
      <w:lang w:val="en-US" w:eastAsia="zh-CN" w:bidi="ar-SA"/>
    </w:rPr>
  </w:style>
  <w:style w:type="paragraph" w:customStyle="1" w:styleId="71">
    <w:name w:val="示例×："/>
    <w:basedOn w:val="54"/>
    <w:qFormat/>
    <w:uiPriority w:val="99"/>
    <w:pPr>
      <w:numPr>
        <w:numId w:val="0"/>
      </w:numPr>
      <w:spacing w:beforeLines="0" w:afterLines="0"/>
      <w:ind w:firstLine="363"/>
      <w:outlineLvl w:val="9"/>
    </w:pPr>
    <w:rPr>
      <w:rFonts w:ascii="宋体" w:eastAsia="宋体" w:cs="宋体"/>
      <w:sz w:val="18"/>
      <w:szCs w:val="18"/>
    </w:rPr>
  </w:style>
  <w:style w:type="paragraph" w:customStyle="1" w:styleId="72">
    <w:name w:val="二级无"/>
    <w:basedOn w:val="55"/>
    <w:qFormat/>
    <w:uiPriority w:val="0"/>
    <w:pPr>
      <w:spacing w:beforeLines="0" w:afterLines="0"/>
    </w:pPr>
    <w:rPr>
      <w:rFonts w:ascii="宋体" w:eastAsia="宋体" w:cs="宋体"/>
    </w:rPr>
  </w:style>
  <w:style w:type="paragraph" w:customStyle="1" w:styleId="73">
    <w:name w:val="注：（正文）"/>
    <w:basedOn w:val="66"/>
    <w:next w:val="23"/>
    <w:qFormat/>
    <w:uiPriority w:val="0"/>
  </w:style>
  <w:style w:type="paragraph" w:customStyle="1" w:styleId="74">
    <w:name w:val="注×：（正文）"/>
    <w:qFormat/>
    <w:uiPriority w:val="99"/>
    <w:pPr>
      <w:numPr>
        <w:ilvl w:val="0"/>
        <w:numId w:val="5"/>
      </w:numPr>
      <w:jc w:val="both"/>
    </w:pPr>
    <w:rPr>
      <w:rFonts w:ascii="宋体" w:hAnsi="Times New Roman" w:eastAsia="宋体" w:cs="宋体"/>
      <w:sz w:val="18"/>
      <w:szCs w:val="18"/>
      <w:lang w:val="en-US" w:eastAsia="zh-CN" w:bidi="ar-SA"/>
    </w:rPr>
  </w:style>
  <w:style w:type="paragraph" w:customStyle="1" w:styleId="75">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bCs/>
      <w:w w:val="170"/>
      <w:sz w:val="96"/>
      <w:szCs w:val="96"/>
      <w:lang w:val="en-US" w:eastAsia="zh-CN" w:bidi="ar-SA"/>
    </w:rPr>
  </w:style>
  <w:style w:type="paragraph" w:customStyle="1" w:styleId="76">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宋体"/>
      <w:b/>
      <w:bCs/>
      <w:spacing w:val="20"/>
      <w:w w:val="148"/>
      <w:sz w:val="48"/>
      <w:szCs w:val="48"/>
      <w:lang w:val="en-US" w:eastAsia="zh-CN" w:bidi="ar-SA"/>
    </w:rPr>
  </w:style>
  <w:style w:type="paragraph" w:customStyle="1" w:styleId="77">
    <w:name w:val="标准书脚_偶数页"/>
    <w:qFormat/>
    <w:uiPriority w:val="99"/>
    <w:pPr>
      <w:spacing w:before="120"/>
      <w:ind w:left="221"/>
    </w:pPr>
    <w:rPr>
      <w:rFonts w:ascii="宋体" w:hAnsi="Times New Roman" w:eastAsia="宋体" w:cs="宋体"/>
      <w:sz w:val="18"/>
      <w:szCs w:val="18"/>
      <w:lang w:val="en-US" w:eastAsia="zh-CN" w:bidi="ar-SA"/>
    </w:rPr>
  </w:style>
  <w:style w:type="paragraph" w:customStyle="1" w:styleId="78">
    <w:name w:val="标准书眉_偶数页"/>
    <w:basedOn w:val="53"/>
    <w:next w:val="1"/>
    <w:qFormat/>
    <w:uiPriority w:val="99"/>
    <w:pPr>
      <w:jc w:val="left"/>
    </w:pPr>
  </w:style>
  <w:style w:type="paragraph" w:customStyle="1" w:styleId="79">
    <w:name w:val="标准书眉一"/>
    <w:qFormat/>
    <w:uiPriority w:val="99"/>
    <w:pPr>
      <w:jc w:val="both"/>
    </w:pPr>
    <w:rPr>
      <w:rFonts w:ascii="Times New Roman" w:hAnsi="Times New Roman" w:eastAsia="宋体" w:cs="Times New Roman"/>
      <w:lang w:val="en-US" w:eastAsia="zh-CN" w:bidi="ar-SA"/>
    </w:rPr>
  </w:style>
  <w:style w:type="paragraph" w:customStyle="1" w:styleId="80">
    <w:name w:val="参考文献"/>
    <w:basedOn w:val="1"/>
    <w:next w:val="23"/>
    <w:qFormat/>
    <w:uiPriority w:val="0"/>
    <w:pPr>
      <w:keepNext/>
      <w:pageBreakBefore/>
      <w:widowControl/>
      <w:shd w:val="clear" w:color="FFFFFF" w:fill="FFFFFF"/>
      <w:spacing w:before="640" w:after="200"/>
      <w:jc w:val="center"/>
      <w:outlineLvl w:val="0"/>
    </w:pPr>
    <w:rPr>
      <w:rFonts w:ascii="黑体" w:eastAsia="黑体" w:cs="黑体"/>
      <w:kern w:val="0"/>
    </w:rPr>
  </w:style>
  <w:style w:type="paragraph" w:customStyle="1" w:styleId="81">
    <w:name w:val="参考文献、索引标题"/>
    <w:basedOn w:val="1"/>
    <w:next w:val="23"/>
    <w:qFormat/>
    <w:uiPriority w:val="99"/>
    <w:pPr>
      <w:keepNext/>
      <w:pageBreakBefore/>
      <w:widowControl/>
      <w:shd w:val="clear" w:color="FFFFFF" w:fill="FFFFFF"/>
      <w:spacing w:before="640" w:after="200"/>
      <w:jc w:val="center"/>
      <w:outlineLvl w:val="0"/>
    </w:pPr>
    <w:rPr>
      <w:rFonts w:ascii="黑体" w:eastAsia="黑体" w:cs="黑体"/>
      <w:kern w:val="0"/>
    </w:rPr>
  </w:style>
  <w:style w:type="character" w:customStyle="1" w:styleId="82">
    <w:name w:val="发布"/>
    <w:basedOn w:val="34"/>
    <w:qFormat/>
    <w:uiPriority w:val="99"/>
    <w:rPr>
      <w:rFonts w:ascii="黑体" w:eastAsia="黑体" w:cs="黑体"/>
      <w:spacing w:val="85"/>
      <w:w w:val="100"/>
      <w:position w:val="3"/>
      <w:sz w:val="28"/>
      <w:szCs w:val="28"/>
    </w:rPr>
  </w:style>
  <w:style w:type="paragraph" w:customStyle="1" w:styleId="83">
    <w:name w:val="发布部门"/>
    <w:next w:val="23"/>
    <w:qFormat/>
    <w:uiPriority w:val="99"/>
    <w:pPr>
      <w:framePr w:w="7938" w:h="1134" w:hRule="exact" w:hSpace="125" w:vSpace="181" w:wrap="around" w:vAnchor="page" w:hAnchor="page" w:x="2150" w:y="14630" w:anchorLock="1"/>
      <w:jc w:val="center"/>
    </w:pPr>
    <w:rPr>
      <w:rFonts w:ascii="宋体" w:hAnsi="Times New Roman" w:eastAsia="宋体" w:cs="宋体"/>
      <w:b/>
      <w:bCs/>
      <w:spacing w:val="20"/>
      <w:w w:val="135"/>
      <w:sz w:val="28"/>
      <w:szCs w:val="28"/>
      <w:lang w:val="en-US" w:eastAsia="zh-CN" w:bidi="ar-SA"/>
    </w:rPr>
  </w:style>
  <w:style w:type="paragraph" w:customStyle="1" w:styleId="84">
    <w:name w:val="发布日期"/>
    <w:qFormat/>
    <w:uiPriority w:val="99"/>
    <w:pPr>
      <w:framePr w:w="3997" w:h="471" w:hRule="exact" w:vSpace="181" w:wrap="around" w:vAnchor="margin" w:hAnchor="page" w:x="7089" w:y="14097" w:anchorLock="1"/>
    </w:pPr>
    <w:rPr>
      <w:rFonts w:ascii="Times New Roman" w:hAnsi="Times New Roman" w:eastAsia="黑体" w:cs="Times New Roman"/>
      <w:sz w:val="28"/>
      <w:szCs w:val="28"/>
      <w:lang w:val="en-US" w:eastAsia="zh-CN" w:bidi="ar-SA"/>
    </w:rPr>
  </w:style>
  <w:style w:type="paragraph" w:customStyle="1" w:styleId="85">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宋体"/>
      <w:sz w:val="21"/>
      <w:szCs w:val="21"/>
      <w:lang w:val="en-US" w:eastAsia="zh-CN" w:bidi="ar-SA"/>
    </w:rPr>
  </w:style>
  <w:style w:type="paragraph" w:customStyle="1" w:styleId="8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szCs w:val="28"/>
      <w:lang w:val="en-US" w:eastAsia="zh-CN" w:bidi="ar-SA"/>
    </w:rPr>
  </w:style>
  <w:style w:type="paragraph" w:customStyle="1" w:styleId="87">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黑体"/>
      <w:sz w:val="52"/>
      <w:szCs w:val="52"/>
      <w:lang w:val="en-US" w:eastAsia="zh-CN" w:bidi="ar-SA"/>
    </w:rPr>
  </w:style>
  <w:style w:type="paragraph" w:customStyle="1" w:styleId="88">
    <w:name w:val="封面标准英文名称"/>
    <w:basedOn w:val="87"/>
    <w:qFormat/>
    <w:uiPriority w:val="99"/>
    <w:pPr>
      <w:spacing w:before="370" w:line="400" w:lineRule="exact"/>
    </w:pPr>
    <w:rPr>
      <w:rFonts w:ascii="Times New Roman" w:cs="Times New Roman"/>
      <w:sz w:val="28"/>
      <w:szCs w:val="28"/>
    </w:rPr>
  </w:style>
  <w:style w:type="paragraph" w:customStyle="1" w:styleId="89">
    <w:name w:val="封面一致性程度标识"/>
    <w:basedOn w:val="88"/>
    <w:qFormat/>
    <w:uiPriority w:val="99"/>
    <w:pPr>
      <w:spacing w:before="440"/>
    </w:pPr>
    <w:rPr>
      <w:rFonts w:ascii="宋体" w:eastAsia="宋体" w:cs="宋体"/>
    </w:rPr>
  </w:style>
  <w:style w:type="paragraph" w:customStyle="1" w:styleId="90">
    <w:name w:val="封面标准文稿类别"/>
    <w:basedOn w:val="89"/>
    <w:qFormat/>
    <w:uiPriority w:val="99"/>
    <w:pPr>
      <w:spacing w:after="160" w:line="240" w:lineRule="auto"/>
    </w:pPr>
    <w:rPr>
      <w:sz w:val="24"/>
      <w:szCs w:val="24"/>
    </w:rPr>
  </w:style>
  <w:style w:type="paragraph" w:customStyle="1" w:styleId="91">
    <w:name w:val="封面标准文稿编辑信息"/>
    <w:basedOn w:val="90"/>
    <w:qFormat/>
    <w:uiPriority w:val="99"/>
    <w:pPr>
      <w:spacing w:before="180" w:line="180" w:lineRule="exact"/>
    </w:pPr>
    <w:rPr>
      <w:sz w:val="21"/>
      <w:szCs w:val="21"/>
    </w:rPr>
  </w:style>
  <w:style w:type="paragraph" w:customStyle="1" w:styleId="92">
    <w:name w:val="封面正文"/>
    <w:qFormat/>
    <w:uiPriority w:val="99"/>
    <w:pPr>
      <w:jc w:val="both"/>
    </w:pPr>
    <w:rPr>
      <w:rFonts w:ascii="Times New Roman" w:hAnsi="Times New Roman" w:eastAsia="宋体" w:cs="Times New Roman"/>
      <w:lang w:val="en-US" w:eastAsia="zh-CN" w:bidi="ar-SA"/>
    </w:rPr>
  </w:style>
  <w:style w:type="paragraph" w:customStyle="1" w:styleId="93">
    <w:name w:val="附录标识"/>
    <w:basedOn w:val="1"/>
    <w:next w:val="23"/>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cs="黑体"/>
      <w:kern w:val="0"/>
    </w:rPr>
  </w:style>
  <w:style w:type="paragraph" w:customStyle="1" w:styleId="94">
    <w:name w:val="附录标题"/>
    <w:basedOn w:val="23"/>
    <w:next w:val="23"/>
    <w:qFormat/>
    <w:uiPriority w:val="0"/>
    <w:pPr>
      <w:ind w:firstLine="0" w:firstLineChars="0"/>
      <w:jc w:val="center"/>
    </w:pPr>
    <w:rPr>
      <w:rFonts w:ascii="黑体" w:eastAsia="黑体" w:cs="黑体"/>
    </w:rPr>
  </w:style>
  <w:style w:type="paragraph" w:customStyle="1" w:styleId="95">
    <w:name w:val="附录表标号"/>
    <w:basedOn w:val="1"/>
    <w:next w:val="23"/>
    <w:qFormat/>
    <w:uiPriority w:val="99"/>
    <w:pPr>
      <w:numPr>
        <w:ilvl w:val="0"/>
        <w:numId w:val="7"/>
      </w:numPr>
      <w:tabs>
        <w:tab w:val="clear" w:pos="0"/>
      </w:tabs>
      <w:spacing w:line="14" w:lineRule="exact"/>
      <w:ind w:left="811" w:hanging="448"/>
      <w:jc w:val="center"/>
      <w:outlineLvl w:val="0"/>
    </w:pPr>
    <w:rPr>
      <w:color w:val="FFFFFF"/>
    </w:rPr>
  </w:style>
  <w:style w:type="paragraph" w:customStyle="1" w:styleId="96">
    <w:name w:val="附录表标题"/>
    <w:basedOn w:val="1"/>
    <w:next w:val="23"/>
    <w:qFormat/>
    <w:uiPriority w:val="99"/>
    <w:pPr>
      <w:numPr>
        <w:ilvl w:val="1"/>
        <w:numId w:val="7"/>
      </w:numPr>
      <w:tabs>
        <w:tab w:val="left" w:pos="180"/>
      </w:tabs>
      <w:spacing w:beforeLines="50" w:afterLines="50"/>
      <w:ind w:left="0" w:firstLine="0"/>
      <w:jc w:val="center"/>
    </w:pPr>
    <w:rPr>
      <w:rFonts w:ascii="黑体" w:eastAsia="黑体" w:cs="黑体"/>
    </w:rPr>
  </w:style>
  <w:style w:type="paragraph" w:customStyle="1" w:styleId="97">
    <w:name w:val="附录二级条标题"/>
    <w:basedOn w:val="1"/>
    <w:next w:val="23"/>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cs="黑体"/>
      <w:kern w:val="21"/>
    </w:rPr>
  </w:style>
  <w:style w:type="paragraph" w:customStyle="1" w:styleId="98">
    <w:name w:val="附录二级无"/>
    <w:basedOn w:val="97"/>
    <w:qFormat/>
    <w:uiPriority w:val="99"/>
    <w:pPr>
      <w:tabs>
        <w:tab w:val="clear" w:pos="360"/>
      </w:tabs>
      <w:spacing w:beforeLines="0" w:afterLines="0"/>
    </w:pPr>
    <w:rPr>
      <w:rFonts w:ascii="宋体" w:eastAsia="宋体" w:cs="宋体"/>
    </w:rPr>
  </w:style>
  <w:style w:type="paragraph" w:customStyle="1" w:styleId="99">
    <w:name w:val="附录公式"/>
    <w:basedOn w:val="23"/>
    <w:next w:val="23"/>
    <w:link w:val="100"/>
    <w:qFormat/>
    <w:uiPriority w:val="99"/>
  </w:style>
  <w:style w:type="character" w:customStyle="1" w:styleId="100">
    <w:name w:val="附录公式 Char"/>
    <w:basedOn w:val="50"/>
    <w:link w:val="99"/>
    <w:qFormat/>
    <w:locked/>
    <w:uiPriority w:val="99"/>
  </w:style>
  <w:style w:type="paragraph" w:customStyle="1" w:styleId="101">
    <w:name w:val="附录公式编号制表符"/>
    <w:basedOn w:val="1"/>
    <w:next w:val="23"/>
    <w:qFormat/>
    <w:uiPriority w:val="99"/>
    <w:pPr>
      <w:widowControl/>
      <w:tabs>
        <w:tab w:val="center" w:pos="4201"/>
        <w:tab w:val="right" w:leader="dot" w:pos="9298"/>
      </w:tabs>
      <w:autoSpaceDE w:val="0"/>
      <w:autoSpaceDN w:val="0"/>
    </w:pPr>
    <w:rPr>
      <w:rFonts w:ascii="宋体" w:cs="宋体"/>
      <w:kern w:val="0"/>
    </w:rPr>
  </w:style>
  <w:style w:type="paragraph" w:customStyle="1" w:styleId="102">
    <w:name w:val="附录三级条标题"/>
    <w:basedOn w:val="97"/>
    <w:next w:val="23"/>
    <w:qFormat/>
    <w:uiPriority w:val="99"/>
    <w:pPr>
      <w:numPr>
        <w:ilvl w:val="4"/>
      </w:numPr>
      <w:outlineLvl w:val="4"/>
    </w:pPr>
  </w:style>
  <w:style w:type="paragraph" w:customStyle="1" w:styleId="103">
    <w:name w:val="附录三级无"/>
    <w:basedOn w:val="102"/>
    <w:qFormat/>
    <w:uiPriority w:val="99"/>
    <w:pPr>
      <w:tabs>
        <w:tab w:val="clear" w:pos="360"/>
      </w:tabs>
      <w:spacing w:beforeLines="0" w:afterLines="0"/>
    </w:pPr>
    <w:rPr>
      <w:rFonts w:ascii="宋体" w:eastAsia="宋体" w:cs="宋体"/>
    </w:rPr>
  </w:style>
  <w:style w:type="paragraph" w:customStyle="1" w:styleId="104">
    <w:name w:val="附录数字编号列项（二级）"/>
    <w:qFormat/>
    <w:uiPriority w:val="99"/>
    <w:pPr>
      <w:numPr>
        <w:ilvl w:val="1"/>
        <w:numId w:val="8"/>
      </w:numPr>
    </w:pPr>
    <w:rPr>
      <w:rFonts w:ascii="宋体" w:hAnsi="Times New Roman" w:eastAsia="宋体" w:cs="宋体"/>
      <w:sz w:val="21"/>
      <w:szCs w:val="21"/>
      <w:lang w:val="en-US" w:eastAsia="zh-CN" w:bidi="ar-SA"/>
    </w:rPr>
  </w:style>
  <w:style w:type="paragraph" w:customStyle="1" w:styleId="105">
    <w:name w:val="附录四级条标题"/>
    <w:basedOn w:val="102"/>
    <w:next w:val="23"/>
    <w:qFormat/>
    <w:uiPriority w:val="99"/>
    <w:pPr>
      <w:numPr>
        <w:ilvl w:val="5"/>
      </w:numPr>
      <w:outlineLvl w:val="5"/>
    </w:pPr>
  </w:style>
  <w:style w:type="paragraph" w:customStyle="1" w:styleId="106">
    <w:name w:val="附录四级无"/>
    <w:basedOn w:val="105"/>
    <w:qFormat/>
    <w:uiPriority w:val="99"/>
    <w:pPr>
      <w:tabs>
        <w:tab w:val="clear" w:pos="360"/>
      </w:tabs>
      <w:spacing w:beforeLines="0" w:afterLines="0"/>
    </w:pPr>
    <w:rPr>
      <w:rFonts w:ascii="宋体" w:eastAsia="宋体" w:cs="宋体"/>
    </w:rPr>
  </w:style>
  <w:style w:type="paragraph" w:customStyle="1" w:styleId="107">
    <w:name w:val="附录图标号"/>
    <w:basedOn w:val="1"/>
    <w:qFormat/>
    <w:uiPriority w:val="99"/>
    <w:pPr>
      <w:keepNext/>
      <w:pageBreakBefore/>
      <w:widowControl/>
      <w:numPr>
        <w:ilvl w:val="0"/>
        <w:numId w:val="9"/>
      </w:numPr>
      <w:spacing w:line="14" w:lineRule="exact"/>
      <w:ind w:left="0" w:firstLine="363"/>
      <w:jc w:val="center"/>
      <w:outlineLvl w:val="0"/>
    </w:pPr>
    <w:rPr>
      <w:color w:val="FFFFFF"/>
    </w:rPr>
  </w:style>
  <w:style w:type="paragraph" w:customStyle="1" w:styleId="108">
    <w:name w:val="附录图标题"/>
    <w:basedOn w:val="1"/>
    <w:next w:val="23"/>
    <w:qFormat/>
    <w:uiPriority w:val="99"/>
    <w:pPr>
      <w:numPr>
        <w:ilvl w:val="1"/>
        <w:numId w:val="9"/>
      </w:numPr>
      <w:tabs>
        <w:tab w:val="left" w:pos="363"/>
      </w:tabs>
      <w:spacing w:beforeLines="50" w:afterLines="50"/>
      <w:ind w:left="0" w:firstLine="0"/>
      <w:jc w:val="center"/>
    </w:pPr>
    <w:rPr>
      <w:rFonts w:ascii="黑体" w:eastAsia="黑体" w:cs="黑体"/>
    </w:rPr>
  </w:style>
  <w:style w:type="paragraph" w:customStyle="1" w:styleId="109">
    <w:name w:val="附录五级条标题"/>
    <w:basedOn w:val="105"/>
    <w:next w:val="23"/>
    <w:qFormat/>
    <w:uiPriority w:val="99"/>
    <w:pPr>
      <w:numPr>
        <w:ilvl w:val="6"/>
      </w:numPr>
      <w:outlineLvl w:val="6"/>
    </w:pPr>
  </w:style>
  <w:style w:type="paragraph" w:customStyle="1" w:styleId="110">
    <w:name w:val="附录五级无"/>
    <w:basedOn w:val="109"/>
    <w:qFormat/>
    <w:uiPriority w:val="99"/>
    <w:pPr>
      <w:tabs>
        <w:tab w:val="clear" w:pos="360"/>
      </w:tabs>
      <w:spacing w:beforeLines="0" w:afterLines="0"/>
    </w:pPr>
    <w:rPr>
      <w:rFonts w:ascii="宋体" w:eastAsia="宋体" w:cs="宋体"/>
    </w:rPr>
  </w:style>
  <w:style w:type="paragraph" w:customStyle="1" w:styleId="111">
    <w:name w:val="附录章标题"/>
    <w:next w:val="23"/>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黑体"/>
      <w:kern w:val="21"/>
      <w:sz w:val="21"/>
      <w:szCs w:val="21"/>
      <w:lang w:val="en-US" w:eastAsia="zh-CN" w:bidi="ar-SA"/>
    </w:rPr>
  </w:style>
  <w:style w:type="paragraph" w:customStyle="1" w:styleId="112">
    <w:name w:val="附录一级条标题"/>
    <w:basedOn w:val="111"/>
    <w:next w:val="23"/>
    <w:qFormat/>
    <w:uiPriority w:val="99"/>
    <w:pPr>
      <w:numPr>
        <w:ilvl w:val="2"/>
      </w:numPr>
      <w:autoSpaceDN w:val="0"/>
      <w:spacing w:beforeLines="50" w:afterLines="50"/>
      <w:outlineLvl w:val="2"/>
    </w:pPr>
  </w:style>
  <w:style w:type="paragraph" w:customStyle="1" w:styleId="113">
    <w:name w:val="附录一级无"/>
    <w:basedOn w:val="112"/>
    <w:qFormat/>
    <w:uiPriority w:val="99"/>
    <w:pPr>
      <w:tabs>
        <w:tab w:val="clear" w:pos="360"/>
      </w:tabs>
      <w:spacing w:beforeLines="0" w:afterLines="0"/>
    </w:pPr>
    <w:rPr>
      <w:rFonts w:ascii="宋体" w:eastAsia="宋体" w:cs="宋体"/>
    </w:rPr>
  </w:style>
  <w:style w:type="paragraph" w:customStyle="1" w:styleId="114">
    <w:name w:val="附录字母编号列项（一级）"/>
    <w:qFormat/>
    <w:uiPriority w:val="99"/>
    <w:pPr>
      <w:numPr>
        <w:ilvl w:val="0"/>
        <w:numId w:val="8"/>
      </w:numPr>
    </w:pPr>
    <w:rPr>
      <w:rFonts w:ascii="宋体" w:hAnsi="Times New Roman" w:eastAsia="宋体" w:cs="宋体"/>
      <w:sz w:val="21"/>
      <w:szCs w:val="21"/>
      <w:lang w:val="en-US" w:eastAsia="zh-CN" w:bidi="ar-SA"/>
    </w:rPr>
  </w:style>
  <w:style w:type="paragraph" w:customStyle="1" w:styleId="115">
    <w:name w:val="列项说明"/>
    <w:basedOn w:val="1"/>
    <w:qFormat/>
    <w:uiPriority w:val="99"/>
    <w:pPr>
      <w:adjustRightInd w:val="0"/>
      <w:spacing w:line="320" w:lineRule="exact"/>
      <w:ind w:left="400" w:leftChars="200" w:hanging="200" w:hangingChars="200"/>
      <w:jc w:val="left"/>
      <w:textAlignment w:val="baseline"/>
    </w:pPr>
    <w:rPr>
      <w:rFonts w:ascii="宋体" w:cs="宋体"/>
      <w:kern w:val="0"/>
    </w:rPr>
  </w:style>
  <w:style w:type="paragraph" w:customStyle="1" w:styleId="116">
    <w:name w:val="列项说明数字编号"/>
    <w:qFormat/>
    <w:uiPriority w:val="99"/>
    <w:pPr>
      <w:ind w:left="600" w:leftChars="400" w:hanging="200" w:hangingChars="200"/>
    </w:pPr>
    <w:rPr>
      <w:rFonts w:ascii="宋体" w:hAnsi="Times New Roman" w:eastAsia="宋体" w:cs="宋体"/>
      <w:sz w:val="21"/>
      <w:szCs w:val="21"/>
      <w:lang w:val="en-US" w:eastAsia="zh-CN" w:bidi="ar-SA"/>
    </w:rPr>
  </w:style>
  <w:style w:type="paragraph" w:customStyle="1" w:styleId="117">
    <w:name w:val="目次、索引正文"/>
    <w:qFormat/>
    <w:uiPriority w:val="99"/>
    <w:pPr>
      <w:spacing w:line="320" w:lineRule="exact"/>
      <w:jc w:val="both"/>
    </w:pPr>
    <w:rPr>
      <w:rFonts w:ascii="宋体" w:hAnsi="Times New Roman" w:eastAsia="宋体" w:cs="宋体"/>
      <w:sz w:val="21"/>
      <w:szCs w:val="21"/>
      <w:lang w:val="en-US" w:eastAsia="zh-CN" w:bidi="ar-SA"/>
    </w:rPr>
  </w:style>
  <w:style w:type="paragraph" w:customStyle="1" w:styleId="118">
    <w:name w:val="其他标准标志"/>
    <w:basedOn w:val="75"/>
    <w:qFormat/>
    <w:uiPriority w:val="99"/>
    <w:pPr>
      <w:framePr w:w="6101" w:vAnchor="page" w:hAnchor="page" w:x="4673" w:y="942"/>
    </w:pPr>
    <w:rPr>
      <w:w w:val="130"/>
    </w:rPr>
  </w:style>
  <w:style w:type="paragraph" w:customStyle="1" w:styleId="119">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黑体"/>
      <w:spacing w:val="-40"/>
      <w:sz w:val="48"/>
      <w:szCs w:val="48"/>
      <w:lang w:val="en-US" w:eastAsia="zh-CN" w:bidi="ar-SA"/>
    </w:rPr>
  </w:style>
  <w:style w:type="paragraph" w:customStyle="1" w:styleId="120">
    <w:name w:val="其他发布部门"/>
    <w:basedOn w:val="83"/>
    <w:qFormat/>
    <w:uiPriority w:val="99"/>
    <w:pPr>
      <w:framePr w:y="15310"/>
      <w:spacing w:line="240" w:lineRule="atLeast"/>
    </w:pPr>
    <w:rPr>
      <w:rFonts w:ascii="黑体" w:eastAsia="黑体" w:cs="黑体"/>
      <w:b w:val="0"/>
      <w:bCs w:val="0"/>
    </w:rPr>
  </w:style>
  <w:style w:type="paragraph" w:customStyle="1" w:styleId="121">
    <w:name w:val="前言、引言标题"/>
    <w:next w:val="23"/>
    <w:qFormat/>
    <w:uiPriority w:val="99"/>
    <w:pPr>
      <w:keepNext/>
      <w:pageBreakBefore/>
      <w:shd w:val="clear" w:color="FFFFFF" w:fill="FFFFFF"/>
      <w:spacing w:before="640" w:after="560"/>
      <w:jc w:val="center"/>
      <w:outlineLvl w:val="0"/>
    </w:pPr>
    <w:rPr>
      <w:rFonts w:ascii="黑体" w:hAnsi="Times New Roman" w:eastAsia="黑体" w:cs="黑体"/>
      <w:sz w:val="32"/>
      <w:szCs w:val="32"/>
      <w:lang w:val="en-US" w:eastAsia="zh-CN" w:bidi="ar-SA"/>
    </w:rPr>
  </w:style>
  <w:style w:type="paragraph" w:customStyle="1" w:styleId="122">
    <w:name w:val="三级无"/>
    <w:basedOn w:val="60"/>
    <w:qFormat/>
    <w:uiPriority w:val="0"/>
    <w:pPr>
      <w:spacing w:beforeLines="0" w:afterLines="0"/>
    </w:pPr>
    <w:rPr>
      <w:rFonts w:ascii="宋体" w:eastAsia="宋体" w:cs="宋体"/>
    </w:rPr>
  </w:style>
  <w:style w:type="paragraph" w:customStyle="1" w:styleId="123">
    <w:name w:val="实施日期"/>
    <w:basedOn w:val="84"/>
    <w:qFormat/>
    <w:uiPriority w:val="99"/>
    <w:pPr>
      <w:framePr w:vAnchor="page" w:hAnchor="text"/>
      <w:jc w:val="right"/>
    </w:pPr>
  </w:style>
  <w:style w:type="paragraph" w:customStyle="1" w:styleId="124">
    <w:name w:val="示例后文字"/>
    <w:basedOn w:val="23"/>
    <w:next w:val="23"/>
    <w:qFormat/>
    <w:uiPriority w:val="99"/>
    <w:pPr>
      <w:ind w:firstLine="360"/>
    </w:pPr>
    <w:rPr>
      <w:sz w:val="18"/>
      <w:szCs w:val="18"/>
    </w:rPr>
  </w:style>
  <w:style w:type="paragraph" w:customStyle="1" w:styleId="125">
    <w:name w:val="首示例"/>
    <w:next w:val="23"/>
    <w:link w:val="126"/>
    <w:qFormat/>
    <w:uiPriority w:val="99"/>
    <w:pPr>
      <w:tabs>
        <w:tab w:val="left" w:pos="360"/>
      </w:tabs>
    </w:pPr>
    <w:rPr>
      <w:rFonts w:ascii="宋体" w:hAnsi="宋体" w:eastAsia="宋体" w:cs="宋体"/>
      <w:kern w:val="2"/>
      <w:sz w:val="18"/>
      <w:szCs w:val="18"/>
      <w:lang w:val="en-US" w:eastAsia="zh-CN" w:bidi="ar-SA"/>
    </w:rPr>
  </w:style>
  <w:style w:type="character" w:customStyle="1" w:styleId="126">
    <w:name w:val="首示例 Char"/>
    <w:basedOn w:val="34"/>
    <w:link w:val="125"/>
    <w:qFormat/>
    <w:locked/>
    <w:uiPriority w:val="99"/>
    <w:rPr>
      <w:rFonts w:ascii="宋体" w:hAnsi="宋体" w:cs="宋体"/>
      <w:kern w:val="2"/>
      <w:sz w:val="18"/>
      <w:szCs w:val="18"/>
      <w:lang w:val="en-US" w:eastAsia="zh-CN" w:bidi="ar-SA"/>
    </w:rPr>
  </w:style>
  <w:style w:type="paragraph" w:customStyle="1" w:styleId="127">
    <w:name w:val="四级无"/>
    <w:basedOn w:val="64"/>
    <w:qFormat/>
    <w:uiPriority w:val="99"/>
    <w:pPr>
      <w:spacing w:beforeLines="0" w:afterLines="0"/>
    </w:pPr>
    <w:rPr>
      <w:rFonts w:ascii="宋体" w:eastAsia="宋体" w:cs="宋体"/>
    </w:rPr>
  </w:style>
  <w:style w:type="paragraph" w:customStyle="1" w:styleId="128">
    <w:name w:val="条文脚注"/>
    <w:basedOn w:val="24"/>
    <w:qFormat/>
    <w:uiPriority w:val="99"/>
    <w:pPr>
      <w:numPr>
        <w:numId w:val="0"/>
      </w:numPr>
      <w:jc w:val="both"/>
    </w:pPr>
  </w:style>
  <w:style w:type="paragraph" w:customStyle="1" w:styleId="129">
    <w:name w:val="图标脚注说明"/>
    <w:basedOn w:val="23"/>
    <w:qFormat/>
    <w:uiPriority w:val="99"/>
    <w:pPr>
      <w:ind w:left="840" w:hanging="420" w:firstLineChars="0"/>
    </w:pPr>
    <w:rPr>
      <w:sz w:val="18"/>
      <w:szCs w:val="18"/>
    </w:rPr>
  </w:style>
  <w:style w:type="paragraph" w:customStyle="1" w:styleId="130">
    <w:name w:val="图表脚注说明"/>
    <w:basedOn w:val="1"/>
    <w:qFormat/>
    <w:uiPriority w:val="99"/>
    <w:pPr>
      <w:ind w:left="544" w:hanging="181"/>
    </w:pPr>
    <w:rPr>
      <w:rFonts w:ascii="宋体" w:cs="宋体"/>
      <w:sz w:val="18"/>
      <w:szCs w:val="18"/>
    </w:rPr>
  </w:style>
  <w:style w:type="paragraph" w:customStyle="1" w:styleId="131">
    <w:name w:val="图的脚注"/>
    <w:next w:val="23"/>
    <w:qFormat/>
    <w:uiPriority w:val="99"/>
    <w:pPr>
      <w:widowControl w:val="0"/>
      <w:ind w:left="840" w:leftChars="200" w:hanging="420" w:hangingChars="200"/>
      <w:jc w:val="both"/>
    </w:pPr>
    <w:rPr>
      <w:rFonts w:ascii="宋体" w:hAnsi="Times New Roman" w:eastAsia="宋体" w:cs="宋体"/>
      <w:sz w:val="18"/>
      <w:szCs w:val="18"/>
      <w:lang w:val="en-US" w:eastAsia="zh-CN" w:bidi="ar-SA"/>
    </w:rPr>
  </w:style>
  <w:style w:type="paragraph" w:customStyle="1" w:styleId="132">
    <w:name w:val="文献分类号"/>
    <w:qFormat/>
    <w:uiPriority w:val="99"/>
    <w:pPr>
      <w:framePr w:hSpace="180" w:vSpace="180" w:wrap="around" w:vAnchor="margin" w:hAnchor="margin" w:y="1" w:anchorLock="1"/>
      <w:widowControl w:val="0"/>
      <w:textAlignment w:val="center"/>
    </w:pPr>
    <w:rPr>
      <w:rFonts w:ascii="黑体" w:hAnsi="Times New Roman" w:eastAsia="黑体" w:cs="黑体"/>
      <w:sz w:val="21"/>
      <w:szCs w:val="21"/>
      <w:lang w:val="en-US" w:eastAsia="zh-CN" w:bidi="ar-SA"/>
    </w:rPr>
  </w:style>
  <w:style w:type="paragraph" w:customStyle="1" w:styleId="133">
    <w:name w:val="五级无"/>
    <w:basedOn w:val="65"/>
    <w:qFormat/>
    <w:uiPriority w:val="99"/>
    <w:pPr>
      <w:spacing w:beforeLines="0" w:afterLines="0"/>
    </w:pPr>
    <w:rPr>
      <w:rFonts w:ascii="宋体" w:eastAsia="宋体" w:cs="宋体"/>
    </w:rPr>
  </w:style>
  <w:style w:type="paragraph" w:customStyle="1" w:styleId="134">
    <w:name w:val="一级无"/>
    <w:basedOn w:val="51"/>
    <w:link w:val="155"/>
    <w:qFormat/>
    <w:uiPriority w:val="99"/>
    <w:pPr>
      <w:spacing w:beforeLines="0" w:afterLines="0"/>
    </w:pPr>
    <w:rPr>
      <w:rFonts w:ascii="宋体" w:eastAsia="宋体" w:cs="宋体"/>
    </w:rPr>
  </w:style>
  <w:style w:type="paragraph" w:customStyle="1" w:styleId="135">
    <w:name w:val="正文表标题"/>
    <w:next w:val="23"/>
    <w:qFormat/>
    <w:uiPriority w:val="99"/>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36">
    <w:name w:val="正文公式编号制表符"/>
    <w:basedOn w:val="23"/>
    <w:next w:val="23"/>
    <w:qFormat/>
    <w:uiPriority w:val="99"/>
    <w:pPr>
      <w:ind w:firstLine="0" w:firstLineChars="0"/>
    </w:pPr>
  </w:style>
  <w:style w:type="paragraph" w:customStyle="1" w:styleId="137">
    <w:name w:val="正文图标题"/>
    <w:next w:val="23"/>
    <w:qFormat/>
    <w:uiPriority w:val="99"/>
    <w:pPr>
      <w:tabs>
        <w:tab w:val="left" w:pos="360"/>
      </w:tabs>
      <w:spacing w:beforeLines="50" w:afterLines="50"/>
      <w:jc w:val="center"/>
    </w:pPr>
    <w:rPr>
      <w:rFonts w:ascii="黑体" w:hAnsi="Times New Roman" w:eastAsia="黑体" w:cs="黑体"/>
      <w:sz w:val="21"/>
      <w:szCs w:val="21"/>
      <w:lang w:val="en-US" w:eastAsia="zh-CN" w:bidi="ar-SA"/>
    </w:rPr>
  </w:style>
  <w:style w:type="paragraph" w:customStyle="1" w:styleId="138">
    <w:name w:val="终结线"/>
    <w:basedOn w:val="1"/>
    <w:qFormat/>
    <w:uiPriority w:val="99"/>
    <w:pPr>
      <w:framePr w:hSpace="181" w:vSpace="181" w:wrap="around" w:vAnchor="text" w:hAnchor="margin" w:xAlign="center" w:y="285"/>
    </w:pPr>
  </w:style>
  <w:style w:type="paragraph" w:customStyle="1" w:styleId="139">
    <w:name w:val="其他发布日期"/>
    <w:basedOn w:val="84"/>
    <w:qFormat/>
    <w:uiPriority w:val="99"/>
    <w:pPr>
      <w:framePr w:vAnchor="page" w:hAnchor="text" w:x="1419"/>
    </w:pPr>
  </w:style>
  <w:style w:type="paragraph" w:customStyle="1" w:styleId="140">
    <w:name w:val="其他实施日期"/>
    <w:basedOn w:val="123"/>
    <w:qFormat/>
    <w:uiPriority w:val="99"/>
  </w:style>
  <w:style w:type="paragraph" w:customStyle="1" w:styleId="141">
    <w:name w:val="封面标准名称2"/>
    <w:basedOn w:val="87"/>
    <w:qFormat/>
    <w:uiPriority w:val="99"/>
    <w:pPr>
      <w:framePr w:y="4469"/>
      <w:spacing w:beforeLines="630"/>
    </w:pPr>
  </w:style>
  <w:style w:type="paragraph" w:customStyle="1" w:styleId="142">
    <w:name w:val="封面标准英文名称2"/>
    <w:basedOn w:val="88"/>
    <w:qFormat/>
    <w:uiPriority w:val="99"/>
    <w:pPr>
      <w:framePr w:y="4469"/>
    </w:pPr>
  </w:style>
  <w:style w:type="paragraph" w:customStyle="1" w:styleId="143">
    <w:name w:val="封面一致性程度标识2"/>
    <w:basedOn w:val="89"/>
    <w:qFormat/>
    <w:uiPriority w:val="99"/>
    <w:pPr>
      <w:framePr w:y="4469"/>
    </w:pPr>
  </w:style>
  <w:style w:type="paragraph" w:customStyle="1" w:styleId="144">
    <w:name w:val="封面标准文稿类别2"/>
    <w:basedOn w:val="90"/>
    <w:qFormat/>
    <w:uiPriority w:val="99"/>
    <w:pPr>
      <w:framePr w:y="4469"/>
    </w:pPr>
  </w:style>
  <w:style w:type="paragraph" w:customStyle="1" w:styleId="145">
    <w:name w:val="封面标准文稿编辑信息2"/>
    <w:basedOn w:val="91"/>
    <w:qFormat/>
    <w:uiPriority w:val="99"/>
    <w:pPr>
      <w:framePr w:y="4469"/>
    </w:pPr>
  </w:style>
  <w:style w:type="character" w:customStyle="1" w:styleId="146">
    <w:name w:val="apple-converted-space"/>
    <w:basedOn w:val="34"/>
    <w:qFormat/>
    <w:uiPriority w:val="99"/>
  </w:style>
  <w:style w:type="paragraph" w:customStyle="1" w:styleId="147">
    <w:name w:val="Char Char Char Char Char Char Char Char Char Char Char Char Char Char Char Char Char Char Char Char Char Char Char Char Char"/>
    <w:basedOn w:val="1"/>
    <w:semiHidden/>
    <w:qFormat/>
    <w:uiPriority w:val="99"/>
    <w:rPr>
      <w:rFonts w:ascii="Calibri" w:hAnsi="Calibri" w:cs="Calibri"/>
    </w:rPr>
  </w:style>
  <w:style w:type="character" w:customStyle="1" w:styleId="148">
    <w:name w:val="一级条标题 Char"/>
    <w:basedOn w:val="34"/>
    <w:link w:val="51"/>
    <w:qFormat/>
    <w:locked/>
    <w:uiPriority w:val="0"/>
    <w:rPr>
      <w:rFonts w:ascii="黑体" w:eastAsia="黑体" w:cs="黑体"/>
      <w:sz w:val="21"/>
      <w:szCs w:val="21"/>
      <w:lang w:val="en-US" w:eastAsia="zh-CN" w:bidi="ar-SA"/>
    </w:rPr>
  </w:style>
  <w:style w:type="character" w:customStyle="1" w:styleId="149">
    <w:name w:val="明显参考1"/>
    <w:basedOn w:val="34"/>
    <w:qFormat/>
    <w:uiPriority w:val="99"/>
    <w:rPr>
      <w:b/>
      <w:bCs/>
      <w:smallCaps/>
      <w:color w:val="auto"/>
      <w:spacing w:val="5"/>
      <w:u w:val="single"/>
    </w:rPr>
  </w:style>
  <w:style w:type="character" w:customStyle="1" w:styleId="150">
    <w:name w:val="段 Char Char"/>
    <w:qFormat/>
    <w:uiPriority w:val="99"/>
    <w:rPr>
      <w:rFonts w:ascii="宋体" w:cs="宋体"/>
      <w:sz w:val="21"/>
      <w:szCs w:val="21"/>
      <w:lang w:val="en-US" w:eastAsia="zh-CN"/>
    </w:rPr>
  </w:style>
  <w:style w:type="paragraph" w:customStyle="1" w:styleId="151">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customStyle="1" w:styleId="152">
    <w:name w:val="WPSOffice手动目录 1"/>
    <w:qFormat/>
    <w:uiPriority w:val="0"/>
    <w:rPr>
      <w:rFonts w:ascii="Times New Roman" w:hAnsi="Times New Roman" w:eastAsia="宋体" w:cs="Times New Roman"/>
      <w:lang w:val="en-US" w:eastAsia="zh-CN" w:bidi="ar-SA"/>
    </w:rPr>
  </w:style>
  <w:style w:type="character" w:customStyle="1" w:styleId="153">
    <w:name w:val="标题 1 Char"/>
    <w:basedOn w:val="34"/>
    <w:link w:val="2"/>
    <w:qFormat/>
    <w:uiPriority w:val="0"/>
    <w:rPr>
      <w:b/>
      <w:bCs/>
      <w:kern w:val="44"/>
      <w:sz w:val="44"/>
      <w:szCs w:val="44"/>
    </w:rPr>
  </w:style>
  <w:style w:type="character" w:customStyle="1" w:styleId="154">
    <w:name w:val="text_jayku"/>
    <w:basedOn w:val="34"/>
    <w:qFormat/>
    <w:uiPriority w:val="0"/>
  </w:style>
  <w:style w:type="character" w:customStyle="1" w:styleId="155">
    <w:name w:val="一级无 Char"/>
    <w:link w:val="134"/>
    <w:qFormat/>
    <w:uiPriority w:val="99"/>
    <w:rPr>
      <w:rFonts w:asci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6"/>
    <customShpInfo spid="_x0000_s2050"/>
    <customShpInfo spid="_x0000_s2057"/>
    <customShpInfo spid="_x0000_s2055"/>
    <customShpInfo spid="_x0000_s2052"/>
    <customShpInfo spid="_x0000_s2051"/>
    <customShpInfo spid="_x0000_s1026"/>
    <customShpInfo spid="_x0000_s1031"/>
    <customShpInfo spid="_x0000_s1030"/>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1779</Words>
  <Characters>10144</Characters>
  <Lines>84</Lines>
  <Paragraphs>23</Paragraphs>
  <TotalTime>12</TotalTime>
  <ScaleCrop>false</ScaleCrop>
  <LinksUpToDate>false</LinksUpToDate>
  <CharactersWithSpaces>11900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2024-05-20T23:32:00Z</dcterms:created>
  <cp:lastPrinted>2019-11-08T02:31:00Z</cp:lastPrinted>
  <dcterms:modified xsi:type="dcterms:W3CDTF">2024-05-21T10:43:38Z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ies>
</file>